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EC" w:rsidRDefault="000F07C3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9EC" w:rsidRDefault="000969EC">
      <w:pPr>
        <w:sectPr w:rsidR="000969EC">
          <w:pgSz w:w="11900" w:h="16840"/>
          <w:pgMar w:top="1440" w:right="1440" w:bottom="1440" w:left="1440" w:header="720" w:footer="720" w:gutter="0"/>
          <w:cols w:space="720"/>
        </w:sectPr>
      </w:pPr>
    </w:p>
    <w:p w:rsidR="000969EC" w:rsidRDefault="000969EC">
      <w:pPr>
        <w:spacing w:after="0"/>
        <w:ind w:left="-1440" w:right="6659"/>
      </w:pPr>
    </w:p>
    <w:tbl>
      <w:tblPr>
        <w:tblStyle w:val="TableGrid"/>
        <w:tblW w:w="9641" w:type="dxa"/>
        <w:tblInd w:w="-5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10488"/>
      </w:tblGrid>
      <w:tr w:rsidR="000969EC">
        <w:trPr>
          <w:trHeight w:val="14025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0969EC" w:rsidRDefault="000F07C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75600" cy="8905660"/>
                      <wp:effectExtent l="0" t="0" r="0" b="0"/>
                      <wp:docPr id="11272" name="Group 11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5600" cy="8905660"/>
                                <a:chOff x="0" y="0"/>
                                <a:chExt cx="1875600" cy="8905660"/>
                              </a:xfrm>
                            </wpg:grpSpPr>
                            <wps:wsp>
                              <wps:cNvPr id="12372" name="Shape 12372"/>
                              <wps:cNvSpPr/>
                              <wps:spPr>
                                <a:xfrm>
                                  <a:off x="3594" y="0"/>
                                  <a:ext cx="18684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411" h="9144">
                                      <a:moveTo>
                                        <a:pt x="0" y="0"/>
                                      </a:moveTo>
                                      <a:lnTo>
                                        <a:pt x="1868411" y="0"/>
                                      </a:lnTo>
                                      <a:lnTo>
                                        <a:pt x="18684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3" name="Shape 12373"/>
                              <wps:cNvSpPr/>
                              <wps:spPr>
                                <a:xfrm>
                                  <a:off x="0" y="1"/>
                                  <a:ext cx="9144" cy="890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0565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05659"/>
                                      </a:lnTo>
                                      <a:lnTo>
                                        <a:pt x="0" y="89056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4" name="Shape 12374"/>
                              <wps:cNvSpPr/>
                              <wps:spPr>
                                <a:xfrm>
                                  <a:off x="1872006" y="1"/>
                                  <a:ext cx="9144" cy="890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0565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05659"/>
                                      </a:lnTo>
                                      <a:lnTo>
                                        <a:pt x="0" y="89056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5" name="Shape 12375"/>
                              <wps:cNvSpPr/>
                              <wps:spPr>
                                <a:xfrm>
                                  <a:off x="3594" y="8902066"/>
                                  <a:ext cx="18684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411" h="9144">
                                      <a:moveTo>
                                        <a:pt x="0" y="0"/>
                                      </a:moveTo>
                                      <a:lnTo>
                                        <a:pt x="1868411" y="0"/>
                                      </a:lnTo>
                                      <a:lnTo>
                                        <a:pt x="18684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72" style="width:147.685pt;height:701.233pt;mso-position-horizontal-relative:char;mso-position-vertical-relative:line" coordsize="18756,89056">
                      <v:shape id="Shape 12376" style="position:absolute;width:18684;height:91;left:35;top:0;" coordsize="1868411,9144" path="m0,0l1868411,0l1868411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77" style="position:absolute;width:91;height:89056;left:0;top:0;" coordsize="9144,8905659" path="m0,0l9144,0l9144,8905659l0,8905659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78" style="position:absolute;width:91;height:89056;left:18720;top:0;" coordsize="9144,8905659" path="m0,0l9144,0l9144,8905659l0,8905659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79" style="position:absolute;width:18684;height:91;left:35;top:89020;" coordsize="1868411,9144" path="m0,0l1868411,0l186841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</w:tcPr>
          <w:p w:rsidR="000969EC" w:rsidRDefault="000969EC">
            <w:pPr>
              <w:spacing w:after="0"/>
              <w:ind w:left="-3942" w:right="10488"/>
            </w:pPr>
          </w:p>
          <w:tbl>
            <w:tblPr>
              <w:tblStyle w:val="TableGrid"/>
              <w:tblW w:w="6406" w:type="dxa"/>
              <w:tblInd w:w="140" w:type="dxa"/>
              <w:tblCellMar>
                <w:top w:w="0" w:type="dxa"/>
                <w:left w:w="43" w:type="dxa"/>
                <w:bottom w:w="25" w:type="dxa"/>
                <w:right w:w="337" w:type="dxa"/>
              </w:tblCellMar>
              <w:tblLook w:val="04A0" w:firstRow="1" w:lastRow="0" w:firstColumn="1" w:lastColumn="0" w:noHBand="0" w:noVBand="1"/>
            </w:tblPr>
            <w:tblGrid>
              <w:gridCol w:w="6406"/>
            </w:tblGrid>
            <w:tr w:rsidR="000969EC">
              <w:trPr>
                <w:trHeight w:val="14019"/>
              </w:trPr>
              <w:tc>
                <w:tcPr>
                  <w:tcW w:w="64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969EC" w:rsidRDefault="000F07C3">
                  <w:pPr>
                    <w:spacing w:after="221" w:line="253" w:lineRule="auto"/>
                    <w:ind w:left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aspetti o elaborare bozze di provvedimenti normativi nazionali, dal 1999; -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187" w:line="257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Delegato nazionale allo “Standing Committee on Plant Health”, in Brussels, dal 1994; -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206" w:line="267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Delegato nazionale alle riunioni del Consiglio UE, per le materie fitosanitarie, dal 1996; - MINISTERO DELLE PO</w:t>
                  </w:r>
                  <w:r>
                    <w:rPr>
                      <w:rFonts w:ascii="Arial" w:eastAsia="Arial" w:hAnsi="Arial" w:cs="Arial"/>
                    </w:rPr>
                    <w:t>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5" w:line="250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Delegato nazionale alla Commissione per le Misure Fitosanitarie della FAO (IPPC), dal 1998; - MINISTERO</w:t>
                  </w:r>
                </w:p>
                <w:p w:rsidR="000969EC" w:rsidRDefault="000F07C3">
                  <w:pPr>
                    <w:spacing w:after="202" w:line="242" w:lineRule="auto"/>
                    <w:ind w:left="187"/>
                  </w:pPr>
                  <w:r>
                    <w:rPr>
                      <w:rFonts w:ascii="Arial" w:eastAsia="Arial" w:hAnsi="Arial" w:cs="Arial"/>
                    </w:rPr>
                    <w:t>DELLE</w:t>
                  </w:r>
                  <w:r>
                    <w:rPr>
                      <w:rFonts w:ascii="Arial" w:eastAsia="Arial" w:hAnsi="Arial" w:cs="Arial"/>
                    </w:rPr>
                    <w:tab/>
                    <w:t>POLITICHE</w:t>
                  </w:r>
                  <w:r>
                    <w:rPr>
                      <w:rFonts w:ascii="Arial" w:eastAsia="Arial" w:hAnsi="Arial" w:cs="Arial"/>
                    </w:rPr>
                    <w:tab/>
                    <w:t>AGRICOLE</w:t>
                  </w:r>
                  <w:r>
                    <w:rPr>
                      <w:rFonts w:ascii="Arial" w:eastAsia="Arial" w:hAnsi="Arial" w:cs="Arial"/>
                    </w:rPr>
                    <w:tab/>
                    <w:t>ALIMENTARI</w:t>
                  </w:r>
                  <w:r>
                    <w:rPr>
                      <w:rFonts w:ascii="Arial" w:eastAsia="Arial" w:hAnsi="Arial" w:cs="Arial"/>
                    </w:rPr>
                    <w:tab/>
                    <w:t>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191" w:line="253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Esperto nazionale al Panel EPPO sulle materie della IPPC, dal 20</w:t>
                  </w:r>
                  <w:r>
                    <w:rPr>
                      <w:rFonts w:ascii="Arial" w:eastAsia="Arial" w:hAnsi="Arial" w:cs="Arial"/>
                    </w:rPr>
                    <w:t>00; -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222" w:line="253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Esperto nei progetti europei TWINNING e TAIEX in materie fitosanitarie; -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217" w:line="256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Docente ai Corsi di formazione o aggiornamento per Ispettori Fitosanitari -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237" w:line="239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Portaparola nel semestre di Presidenza italiana della Comunità europea, per i gruppi di lavoro: "harmful organism of plant</w:t>
                  </w:r>
                  <w:r>
                    <w:rPr>
                      <w:rFonts w:ascii="Arial" w:eastAsia="Arial" w:hAnsi="Arial" w:cs="Arial"/>
                    </w:rPr>
                    <w:t>s" and "protection and inspection" del Consiglio UE, nel 2003; -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187" w:line="256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Membro del Gruppo di Lavoro nazionale su Diabrotica Virgifera, dal 2001; -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176" w:line="267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Membro della Commissione Nazionale Pioppo, dal 1994 al 2002; -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206" w:line="267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Contact point nazionale del Comitato SPS della OMC, per il settore</w:t>
                  </w:r>
                  <w:r>
                    <w:rPr>
                      <w:rFonts w:ascii="Arial" w:eastAsia="Arial" w:hAnsi="Arial" w:cs="Arial"/>
                    </w:rPr>
                    <w:tab/>
                    <w:t>fitosanitario,</w:t>
                  </w:r>
                  <w:r>
                    <w:rPr>
                      <w:rFonts w:ascii="Arial" w:eastAsia="Arial" w:hAnsi="Arial" w:cs="Arial"/>
                    </w:rPr>
                    <w:tab/>
                    <w:t>dal</w:t>
                  </w:r>
                  <w:r>
                    <w:rPr>
                      <w:rFonts w:ascii="Arial" w:eastAsia="Arial" w:hAnsi="Arial" w:cs="Arial"/>
                    </w:rPr>
                    <w:tab/>
                    <w:t>1999;</w:t>
                  </w:r>
                  <w:r>
                    <w:rPr>
                      <w:rFonts w:ascii="Arial" w:eastAsia="Arial" w:hAnsi="Arial" w:cs="Arial"/>
                    </w:rPr>
                    <w:tab/>
                    <w:t>-</w:t>
                  </w:r>
                  <w:r>
                    <w:rPr>
                      <w:rFonts w:ascii="Arial" w:eastAsia="Arial" w:hAnsi="Arial" w:cs="Arial"/>
                    </w:rPr>
                    <w:tab/>
                    <w:t>MINISTERO</w:t>
                  </w:r>
                  <w:r>
                    <w:rPr>
                      <w:rFonts w:ascii="Arial" w:eastAsia="Arial" w:hAnsi="Arial" w:cs="Arial"/>
                    </w:rPr>
                    <w:tab/>
                    <w:t>DELLE POLITICHE AGRICOLE ALIMEN</w:t>
                  </w:r>
                  <w:r>
                    <w:rPr>
                      <w:rFonts w:ascii="Arial" w:eastAsia="Arial" w:hAnsi="Arial" w:cs="Arial"/>
                    </w:rPr>
                    <w:t>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195" w:line="249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Membro dei Gruppi tecnici nazionali su Grapevine flavescence doree e Pepino mosaic virus, dal 1998;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177" w:line="266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Membro del Gruppo di Lavoro tecnico sulla revisione della legge nazionale fitosan</w:t>
                  </w:r>
                  <w:r>
                    <w:rPr>
                      <w:rFonts w:ascii="Arial" w:eastAsia="Arial" w:hAnsi="Arial" w:cs="Arial"/>
                    </w:rPr>
                    <w:t>itaria n.987 del 1931, negli anni 1997-98; - MINISTERO DELLE POLITICHE AGRICOLE ALIMENTARI E FORESTALI</w:t>
                  </w:r>
                </w:p>
                <w:p w:rsidR="000969EC" w:rsidRDefault="000F07C3">
                  <w:pPr>
                    <w:numPr>
                      <w:ilvl w:val="0"/>
                      <w:numId w:val="3"/>
                    </w:numPr>
                    <w:spacing w:after="0" w:line="271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Delegato nazionale al “Intergovernmental Working Group on revision of IPPC” della FAO, nel 1997; - MINISTERO</w:t>
                  </w:r>
                </w:p>
                <w:p w:rsidR="000969EC" w:rsidRDefault="000F07C3">
                  <w:pPr>
                    <w:tabs>
                      <w:tab w:val="center" w:pos="535"/>
                      <w:tab w:val="center" w:pos="1809"/>
                      <w:tab w:val="center" w:pos="3302"/>
                      <w:tab w:val="center" w:pos="4875"/>
                      <w:tab w:val="center" w:pos="5953"/>
                    </w:tabs>
                    <w:spacing w:after="0"/>
                  </w:pPr>
                  <w:r>
                    <w:tab/>
                  </w:r>
                  <w:r>
                    <w:rPr>
                      <w:rFonts w:ascii="Arial" w:eastAsia="Arial" w:hAnsi="Arial" w:cs="Arial"/>
                    </w:rPr>
                    <w:t>DELLE</w:t>
                  </w:r>
                  <w:r>
                    <w:rPr>
                      <w:rFonts w:ascii="Arial" w:eastAsia="Arial" w:hAnsi="Arial" w:cs="Arial"/>
                    </w:rPr>
                    <w:tab/>
                    <w:t>POLITICHE</w:t>
                  </w:r>
                  <w:r>
                    <w:rPr>
                      <w:rFonts w:ascii="Arial" w:eastAsia="Arial" w:hAnsi="Arial" w:cs="Arial"/>
                    </w:rPr>
                    <w:tab/>
                    <w:t>AGRICOLE</w:t>
                  </w:r>
                  <w:r>
                    <w:rPr>
                      <w:rFonts w:ascii="Arial" w:eastAsia="Arial" w:hAnsi="Arial" w:cs="Arial"/>
                    </w:rPr>
                    <w:tab/>
                    <w:t>ALIMENTARI</w:t>
                  </w:r>
                  <w:r>
                    <w:rPr>
                      <w:rFonts w:ascii="Arial" w:eastAsia="Arial" w:hAnsi="Arial" w:cs="Arial"/>
                    </w:rPr>
                    <w:tab/>
                    <w:t>E</w:t>
                  </w:r>
                </w:p>
              </w:tc>
            </w:tr>
          </w:tbl>
          <w:p w:rsidR="000969EC" w:rsidRDefault="000969EC"/>
        </w:tc>
      </w:tr>
    </w:tbl>
    <w:p w:rsidR="000969EC" w:rsidRDefault="000969EC">
      <w:pPr>
        <w:spacing w:after="0"/>
        <w:ind w:left="-1440" w:right="10460"/>
      </w:pPr>
    </w:p>
    <w:tbl>
      <w:tblPr>
        <w:tblStyle w:val="TableGrid"/>
        <w:tblW w:w="9638" w:type="dxa"/>
        <w:tblInd w:w="-590" w:type="dxa"/>
        <w:tblCellMar>
          <w:top w:w="25" w:type="dxa"/>
          <w:left w:w="43" w:type="dxa"/>
          <w:bottom w:w="25" w:type="dxa"/>
          <w:right w:w="60" w:type="dxa"/>
        </w:tblCellMar>
        <w:tblLook w:val="04A0" w:firstRow="1" w:lastRow="0" w:firstColumn="1" w:lastColumn="0" w:noHBand="0" w:noVBand="1"/>
      </w:tblPr>
      <w:tblGrid>
        <w:gridCol w:w="2948"/>
        <w:gridCol w:w="283"/>
        <w:gridCol w:w="6406"/>
      </w:tblGrid>
      <w:tr w:rsidR="000969EC">
        <w:trPr>
          <w:trHeight w:val="2743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EC" w:rsidRDefault="000969EC"/>
        </w:tc>
        <w:tc>
          <w:tcPr>
            <w:tcW w:w="28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69EC" w:rsidRDefault="000969EC"/>
        </w:tc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969EC" w:rsidRDefault="000F07C3">
            <w:pPr>
              <w:spacing w:after="214"/>
              <w:ind w:left="187"/>
            </w:pPr>
            <w:r>
              <w:rPr>
                <w:rFonts w:ascii="Arial" w:eastAsia="Arial" w:hAnsi="Arial" w:cs="Arial"/>
              </w:rPr>
              <w:t>FORESTALI</w:t>
            </w:r>
          </w:p>
          <w:p w:rsidR="000969EC" w:rsidRDefault="000F07C3">
            <w:pPr>
              <w:numPr>
                <w:ilvl w:val="0"/>
                <w:numId w:val="1"/>
              </w:numPr>
              <w:spacing w:after="195" w:line="249" w:lineRule="auto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Portaparola nel semestre di Presidenza italiana della Comunità europea, per i gruppi di lavoro: "harmful organism of plants", nel 1996; - MINISTERO DELLE POLITICHE AGRICOLE ALIMENTARI E FORESTALI</w:t>
            </w:r>
          </w:p>
          <w:p w:rsidR="000969EC" w:rsidRDefault="000F07C3">
            <w:pPr>
              <w:numPr>
                <w:ilvl w:val="0"/>
                <w:numId w:val="1"/>
              </w:numPr>
              <w:spacing w:after="0" w:line="277" w:lineRule="auto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Membro delle Commissioni di controllo sui program</w:t>
            </w:r>
            <w:r>
              <w:rPr>
                <w:rFonts w:ascii="Arial" w:eastAsia="Arial" w:hAnsi="Arial" w:cs="Arial"/>
              </w:rPr>
              <w:t>mi di lotta al Dacus olee, negli anni 1992-94 - MINISTERO DELLE POLITICHE AGRICOLE ALIMENTARI E</w:t>
            </w:r>
          </w:p>
          <w:p w:rsidR="000969EC" w:rsidRDefault="000F07C3">
            <w:pPr>
              <w:spacing w:after="0"/>
              <w:ind w:left="187"/>
            </w:pPr>
            <w:r>
              <w:rPr>
                <w:rFonts w:ascii="Arial" w:eastAsia="Arial" w:hAnsi="Arial" w:cs="Arial"/>
              </w:rPr>
              <w:t>FORESTALI</w:t>
            </w:r>
          </w:p>
        </w:tc>
      </w:tr>
      <w:tr w:rsidR="000969EC">
        <w:trPr>
          <w:trHeight w:val="110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EC" w:rsidRDefault="000F07C3">
            <w:pPr>
              <w:spacing w:after="0"/>
              <w:ind w:right="61"/>
              <w:jc w:val="right"/>
            </w:pPr>
            <w:r>
              <w:rPr>
                <w:rFonts w:ascii="Arial" w:eastAsia="Arial" w:hAnsi="Arial" w:cs="Arial"/>
                <w:b/>
              </w:rPr>
              <w:t>Capacità linguistiche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69EC" w:rsidRDefault="000969EC"/>
        </w:tc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EC" w:rsidRDefault="000969EC">
            <w:pPr>
              <w:spacing w:after="0"/>
              <w:ind w:left="-4125" w:right="675"/>
            </w:pPr>
          </w:p>
          <w:tbl>
            <w:tblPr>
              <w:tblStyle w:val="TableGrid"/>
              <w:tblW w:w="5102" w:type="dxa"/>
              <w:tblInd w:w="527" w:type="dxa"/>
              <w:tblCellMar>
                <w:top w:w="25" w:type="dxa"/>
                <w:left w:w="6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</w:tblGrid>
            <w:tr w:rsidR="000969EC">
              <w:trPr>
                <w:trHeight w:val="253"/>
              </w:trPr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969EC" w:rsidRDefault="000F07C3">
                  <w:pPr>
                    <w:spacing w:after="0"/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>Lingua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969EC" w:rsidRDefault="000F07C3">
                  <w:pPr>
                    <w:spacing w:after="0"/>
                    <w:ind w:left="8"/>
                  </w:pPr>
                  <w:r>
                    <w:rPr>
                      <w:rFonts w:ascii="Arial" w:eastAsia="Arial" w:hAnsi="Arial" w:cs="Arial"/>
                      <w:b/>
                    </w:rPr>
                    <w:t>Livello Parlato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969EC" w:rsidRDefault="000F07C3">
                  <w:pPr>
                    <w:spacing w:after="0"/>
                    <w:ind w:left="33"/>
                  </w:pPr>
                  <w:r>
                    <w:rPr>
                      <w:rFonts w:ascii="Arial" w:eastAsia="Arial" w:hAnsi="Arial" w:cs="Arial"/>
                      <w:b/>
                    </w:rPr>
                    <w:t>Livello Scritto</w:t>
                  </w:r>
                </w:p>
              </w:tc>
            </w:tr>
            <w:tr w:rsidR="000969EC">
              <w:trPr>
                <w:trHeight w:val="253"/>
              </w:trPr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969EC" w:rsidRDefault="000F07C3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>Inglese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969EC" w:rsidRDefault="000F07C3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>Fluente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969EC" w:rsidRDefault="000F07C3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>Fluente</w:t>
                  </w:r>
                </w:p>
              </w:tc>
            </w:tr>
            <w:tr w:rsidR="000969EC">
              <w:trPr>
                <w:trHeight w:val="253"/>
              </w:trPr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969EC" w:rsidRDefault="000F07C3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>Spagnolo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969EC" w:rsidRDefault="000F07C3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>Eccellente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969EC" w:rsidRDefault="000F07C3">
                  <w:pPr>
                    <w:spacing w:after="0"/>
                  </w:pPr>
                  <w:r>
                    <w:rPr>
                      <w:rFonts w:ascii="Arial" w:eastAsia="Arial" w:hAnsi="Arial" w:cs="Arial"/>
                    </w:rPr>
                    <w:t>Fluente</w:t>
                  </w:r>
                </w:p>
              </w:tc>
            </w:tr>
          </w:tbl>
          <w:p w:rsidR="000969EC" w:rsidRDefault="000969EC"/>
        </w:tc>
      </w:tr>
      <w:tr w:rsidR="000969EC">
        <w:trPr>
          <w:trHeight w:val="1166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EC" w:rsidRDefault="000F07C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</w:rPr>
              <w:lastRenderedPageBreak/>
              <w:t>Capacità nell’uso delle tecnologie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69EC" w:rsidRDefault="000969EC"/>
        </w:tc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969EC" w:rsidRDefault="000F07C3">
            <w:pPr>
              <w:spacing w:after="0"/>
              <w:ind w:left="187" w:right="278" w:hanging="187"/>
              <w:jc w:val="both"/>
            </w:pPr>
            <w:r>
              <w:rPr>
                <w:rFonts w:ascii="Arial" w:eastAsia="Arial" w:hAnsi="Arial" w:cs="Arial"/>
              </w:rPr>
              <w:t>- Ottima conoscenza degli strumenti informatici per la gestione dell'ufficio: • Ottima operatività con Windows e MS Office • Ottimo uso di internet e intranet • Partecipazione a corsi informatici per progettisti di appli</w:t>
            </w:r>
            <w:r>
              <w:rPr>
                <w:rFonts w:ascii="Arial" w:eastAsia="Arial" w:hAnsi="Arial" w:cs="Arial"/>
              </w:rPr>
              <w:t>cazioni</w:t>
            </w:r>
          </w:p>
        </w:tc>
      </w:tr>
      <w:tr w:rsidR="000969EC">
        <w:trPr>
          <w:trHeight w:val="903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EC" w:rsidRDefault="000F07C3">
            <w:pPr>
              <w:spacing w:after="0" w:line="235" w:lineRule="auto"/>
              <w:jc w:val="right"/>
            </w:pPr>
            <w:r>
              <w:rPr>
                <w:rFonts w:ascii="Arial" w:eastAsia="Arial" w:hAnsi="Arial" w:cs="Arial"/>
                <w:b/>
              </w:rPr>
              <w:t>Altro (partecipazione a convegni e seminari, pubblicazioni,</w:t>
            </w:r>
          </w:p>
          <w:p w:rsidR="000969EC" w:rsidRDefault="000F07C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</w:rPr>
              <w:t>collaborazione a riviste, ecc., ed ogni altra informazione che il dirigente ritiene di dover pubblicare)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69EC" w:rsidRDefault="000969EC"/>
        </w:tc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969EC" w:rsidRDefault="000F07C3">
            <w:pPr>
              <w:numPr>
                <w:ilvl w:val="0"/>
                <w:numId w:val="2"/>
              </w:numPr>
              <w:spacing w:after="177" w:line="266" w:lineRule="auto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PUBBLICAZIONI: Gruppo nazionale di lavoro su Diabrotica virgifera (B.C.Faraglia: Membro), 2008: Presenza di Diabrotica in Italia nel 2008. L’Informatore Agrario n°15-2008. 44-46</w:t>
            </w:r>
          </w:p>
          <w:p w:rsidR="000969EC" w:rsidRDefault="000F07C3">
            <w:pPr>
              <w:numPr>
                <w:ilvl w:val="0"/>
                <w:numId w:val="2"/>
              </w:numPr>
              <w:spacing w:after="206" w:line="267" w:lineRule="auto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Faraglia B. C., 2007. Il Servizio fitosanitario nazionale alla luce delle nuove norme internazionali. I Georgofili – Quaderni, 2007 – VI. 7-21</w:t>
            </w:r>
          </w:p>
          <w:p w:rsidR="000969EC" w:rsidRDefault="000F07C3">
            <w:pPr>
              <w:numPr>
                <w:ilvl w:val="0"/>
                <w:numId w:val="2"/>
              </w:numPr>
              <w:spacing w:after="195" w:line="249" w:lineRule="auto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Gruppo nazionale di lavoro su Diabrotica virgifera (B.C.Faraglia: Membro), 2007: Diabrotica: aggiornamento 2007 s</w:t>
            </w:r>
            <w:r>
              <w:rPr>
                <w:rFonts w:ascii="Arial" w:eastAsia="Arial" w:hAnsi="Arial" w:cs="Arial"/>
              </w:rPr>
              <w:t>ulle popolazioni nazionali. L’Informatore Agrario n°9-2007. 42-46</w:t>
            </w:r>
          </w:p>
          <w:p w:rsidR="000969EC" w:rsidRDefault="000F07C3">
            <w:pPr>
              <w:numPr>
                <w:ilvl w:val="0"/>
                <w:numId w:val="2"/>
              </w:numPr>
              <w:spacing w:after="227" w:line="247" w:lineRule="auto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Faraglia B. C., Frausin C., 2006. Western Corn Rootworm in phytosanitary rules. In “Integrated pest management for corn: a necessity or an opportunity?” Ed. ERSA – Friuli Venezia Giulia, 200</w:t>
            </w:r>
            <w:r>
              <w:rPr>
                <w:rFonts w:ascii="Arial" w:eastAsia="Arial" w:hAnsi="Arial" w:cs="Arial"/>
              </w:rPr>
              <w:t>8. 26-30</w:t>
            </w:r>
          </w:p>
          <w:p w:rsidR="000969EC" w:rsidRDefault="000F07C3">
            <w:pPr>
              <w:numPr>
                <w:ilvl w:val="0"/>
                <w:numId w:val="2"/>
              </w:numPr>
              <w:spacing w:after="233" w:line="243" w:lineRule="auto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Gruppo</w:t>
            </w:r>
            <w:r>
              <w:rPr>
                <w:rFonts w:ascii="Arial" w:eastAsia="Arial" w:hAnsi="Arial" w:cs="Arial"/>
              </w:rPr>
              <w:tab/>
              <w:t>nazionale</w:t>
            </w:r>
            <w:r>
              <w:rPr>
                <w:rFonts w:ascii="Arial" w:eastAsia="Arial" w:hAnsi="Arial" w:cs="Arial"/>
              </w:rPr>
              <w:tab/>
              <w:t>di</w:t>
            </w:r>
            <w:r>
              <w:rPr>
                <w:rFonts w:ascii="Arial" w:eastAsia="Arial" w:hAnsi="Arial" w:cs="Arial"/>
              </w:rPr>
              <w:tab/>
              <w:t>lavoro</w:t>
            </w:r>
            <w:r>
              <w:rPr>
                <w:rFonts w:ascii="Arial" w:eastAsia="Arial" w:hAnsi="Arial" w:cs="Arial"/>
              </w:rPr>
              <w:tab/>
              <w:t>su</w:t>
            </w:r>
            <w:r>
              <w:rPr>
                <w:rFonts w:ascii="Arial" w:eastAsia="Arial" w:hAnsi="Arial" w:cs="Arial"/>
              </w:rPr>
              <w:tab/>
              <w:t>Diabrotica</w:t>
            </w:r>
            <w:r>
              <w:rPr>
                <w:rFonts w:ascii="Arial" w:eastAsia="Arial" w:hAnsi="Arial" w:cs="Arial"/>
              </w:rPr>
              <w:tab/>
              <w:t>virgifera (B.C.Faraglia: Membro), 2006: Diffusione di Diabrotica in Italia nel 2005. L’Informatore Agrario n°7-2006. 52-56</w:t>
            </w:r>
          </w:p>
          <w:p w:rsidR="000969EC" w:rsidRDefault="000F07C3">
            <w:pPr>
              <w:numPr>
                <w:ilvl w:val="0"/>
                <w:numId w:val="2"/>
              </w:numPr>
              <w:spacing w:after="185" w:line="258" w:lineRule="auto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Capponi M., Cerullo S., Cremonini C., Faraglia B.C., Zanuttini R. 2005. Lo Standard Fao sulle misure fitosanitarie. Gli imballaggi in legno. Sherwood n°109. Marzo 2005. 37-40</w:t>
            </w:r>
          </w:p>
          <w:p w:rsidR="000969EC" w:rsidRDefault="000F07C3">
            <w:pPr>
              <w:numPr>
                <w:ilvl w:val="0"/>
                <w:numId w:val="2"/>
              </w:numPr>
              <w:spacing w:after="217" w:line="256" w:lineRule="auto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Faraglia B. C., 2005. The National phytosanitary service: implementation of regul</w:t>
            </w:r>
            <w:r>
              <w:rPr>
                <w:rFonts w:ascii="Arial" w:eastAsia="Arial" w:hAnsi="Arial" w:cs="Arial"/>
              </w:rPr>
              <w:t>ations. In “Phytosanitary measures beyond accession from present achievement to future policy”. Udine 2005. 59-62.</w:t>
            </w:r>
          </w:p>
          <w:p w:rsidR="000969EC" w:rsidRDefault="000F07C3">
            <w:pPr>
              <w:numPr>
                <w:ilvl w:val="0"/>
                <w:numId w:val="2"/>
              </w:numPr>
              <w:spacing w:after="0"/>
              <w:ind w:right="278" w:hanging="187"/>
              <w:jc w:val="both"/>
            </w:pPr>
            <w:r>
              <w:rPr>
                <w:rFonts w:ascii="Arial" w:eastAsia="Arial" w:hAnsi="Arial" w:cs="Arial"/>
              </w:rPr>
              <w:t>Faraglia B. C., 2004. The European phytosanitary legislations: a deep transformation of traditional phytosanitary controls. In “The Acquis communautaire: Harmonisation of phytosanitary and veterinary measures. EU Phare Project”. Trento 2004. 44-50</w:t>
            </w:r>
          </w:p>
        </w:tc>
      </w:tr>
    </w:tbl>
    <w:p w:rsidR="000969EC" w:rsidRDefault="000969EC">
      <w:pPr>
        <w:spacing w:after="0"/>
        <w:ind w:left="-1440" w:right="6659"/>
      </w:pPr>
    </w:p>
    <w:tbl>
      <w:tblPr>
        <w:tblStyle w:val="TableGrid"/>
        <w:tblW w:w="9641" w:type="dxa"/>
        <w:tblInd w:w="-5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6547"/>
      </w:tblGrid>
      <w:tr w:rsidR="000969EC">
        <w:trPr>
          <w:trHeight w:val="14025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0969EC" w:rsidRDefault="000F07C3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875600" cy="8905660"/>
                      <wp:effectExtent l="0" t="0" r="0" b="0"/>
                      <wp:docPr id="11220" name="Group 11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5600" cy="8905660"/>
                                <a:chOff x="0" y="0"/>
                                <a:chExt cx="1875600" cy="8905660"/>
                              </a:xfrm>
                            </wpg:grpSpPr>
                            <wps:wsp>
                              <wps:cNvPr id="12380" name="Shape 12380"/>
                              <wps:cNvSpPr/>
                              <wps:spPr>
                                <a:xfrm>
                                  <a:off x="3594" y="0"/>
                                  <a:ext cx="18684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411" h="9144">
                                      <a:moveTo>
                                        <a:pt x="0" y="0"/>
                                      </a:moveTo>
                                      <a:lnTo>
                                        <a:pt x="1868411" y="0"/>
                                      </a:lnTo>
                                      <a:lnTo>
                                        <a:pt x="18684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1" name="Shape 12381"/>
                              <wps:cNvSpPr/>
                              <wps:spPr>
                                <a:xfrm>
                                  <a:off x="0" y="1"/>
                                  <a:ext cx="9144" cy="890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0565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05659"/>
                                      </a:lnTo>
                                      <a:lnTo>
                                        <a:pt x="0" y="89056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2" name="Shape 12382"/>
                              <wps:cNvSpPr/>
                              <wps:spPr>
                                <a:xfrm>
                                  <a:off x="1872006" y="1"/>
                                  <a:ext cx="9144" cy="890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0565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05659"/>
                                      </a:lnTo>
                                      <a:lnTo>
                                        <a:pt x="0" y="89056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3" name="Shape 12383"/>
                              <wps:cNvSpPr/>
                              <wps:spPr>
                                <a:xfrm>
                                  <a:off x="3594" y="8902066"/>
                                  <a:ext cx="18684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411" h="9144">
                                      <a:moveTo>
                                        <a:pt x="0" y="0"/>
                                      </a:moveTo>
                                      <a:lnTo>
                                        <a:pt x="1868411" y="0"/>
                                      </a:lnTo>
                                      <a:lnTo>
                                        <a:pt x="18684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20" style="width:147.685pt;height:701.233pt;mso-position-horizontal-relative:char;mso-position-vertical-relative:line" coordsize="18756,89056">
                      <v:shape id="Shape 12384" style="position:absolute;width:18684;height:91;left:35;top:0;" coordsize="1868411,9144" path="m0,0l1868411,0l1868411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85" style="position:absolute;width:91;height:89056;left:0;top:0;" coordsize="9144,8905659" path="m0,0l9144,0l9144,8905659l0,8905659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86" style="position:absolute;width:91;height:89056;left:18720;top:0;" coordsize="9144,8905659" path="m0,0l9144,0l9144,8905659l0,8905659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87" style="position:absolute;width:18684;height:91;left:35;top:89020;" coordsize="1868411,9144" path="m0,0l1868411,0l186841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</w:tcPr>
          <w:p w:rsidR="000969EC" w:rsidRDefault="000969EC">
            <w:pPr>
              <w:spacing w:after="0"/>
              <w:ind w:left="-3942" w:right="10488"/>
            </w:pPr>
          </w:p>
          <w:tbl>
            <w:tblPr>
              <w:tblStyle w:val="TableGrid"/>
              <w:tblW w:w="6406" w:type="dxa"/>
              <w:tblInd w:w="140" w:type="dxa"/>
              <w:tblCellMar>
                <w:top w:w="0" w:type="dxa"/>
                <w:left w:w="43" w:type="dxa"/>
                <w:bottom w:w="25" w:type="dxa"/>
                <w:right w:w="337" w:type="dxa"/>
              </w:tblCellMar>
              <w:tblLook w:val="04A0" w:firstRow="1" w:lastRow="0" w:firstColumn="1" w:lastColumn="0" w:noHBand="0" w:noVBand="1"/>
            </w:tblPr>
            <w:tblGrid>
              <w:gridCol w:w="6406"/>
            </w:tblGrid>
            <w:tr w:rsidR="000969EC">
              <w:trPr>
                <w:trHeight w:val="14019"/>
              </w:trPr>
              <w:tc>
                <w:tcPr>
                  <w:tcW w:w="64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222" w:line="253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Faraglia B. C., Griffo R., Madotto L., 2003. Aggiornate le norme fitosanitarie per l’uso del passaporto delle piante. L’Informatore Agrario n°50-2003. 77-78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234" w:line="242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Faraglia B. C., Storti C., 2003. Nuove procedure per certificare i vegetali d’importazione. L’Infor</w:t>
                  </w:r>
                  <w:r>
                    <w:rPr>
                      <w:rFonts w:ascii="Arial" w:eastAsia="Arial" w:hAnsi="Arial" w:cs="Arial"/>
                    </w:rPr>
                    <w:t>matore Agrario n°19-2003. 96-97.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195" w:line="249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Faraglia</w:t>
                  </w:r>
                  <w:r>
                    <w:rPr>
                      <w:rFonts w:ascii="Arial" w:eastAsia="Arial" w:hAnsi="Arial" w:cs="Arial"/>
                    </w:rPr>
                    <w:tab/>
                    <w:t>B.</w:t>
                  </w:r>
                  <w:r>
                    <w:rPr>
                      <w:rFonts w:ascii="Arial" w:eastAsia="Arial" w:hAnsi="Arial" w:cs="Arial"/>
                    </w:rPr>
                    <w:tab/>
                    <w:t>C.,</w:t>
                  </w:r>
                  <w:r>
                    <w:rPr>
                      <w:rFonts w:ascii="Arial" w:eastAsia="Arial" w:hAnsi="Arial" w:cs="Arial"/>
                    </w:rPr>
                    <w:tab/>
                    <w:t>Griffo</w:t>
                  </w:r>
                  <w:r>
                    <w:rPr>
                      <w:rFonts w:ascii="Arial" w:eastAsia="Arial" w:hAnsi="Arial" w:cs="Arial"/>
                    </w:rPr>
                    <w:tab/>
                    <w:t>R.,</w:t>
                  </w:r>
                  <w:r>
                    <w:rPr>
                      <w:rFonts w:ascii="Arial" w:eastAsia="Arial" w:hAnsi="Arial" w:cs="Arial"/>
                    </w:rPr>
                    <w:tab/>
                    <w:t>2003</w:t>
                  </w:r>
                  <w:r>
                    <w:rPr>
                      <w:rFonts w:ascii="Arial" w:eastAsia="Arial" w:hAnsi="Arial" w:cs="Arial"/>
                    </w:rPr>
                    <w:tab/>
                    <w:t>–</w:t>
                  </w:r>
                  <w:r>
                    <w:rPr>
                      <w:rFonts w:ascii="Arial" w:eastAsia="Arial" w:hAnsi="Arial" w:cs="Arial"/>
                    </w:rPr>
                    <w:tab/>
                    <w:t>Le</w:t>
                  </w:r>
                  <w:r>
                    <w:rPr>
                      <w:rFonts w:ascii="Arial" w:eastAsia="Arial" w:hAnsi="Arial" w:cs="Arial"/>
                    </w:rPr>
                    <w:tab/>
                    <w:t>autoproduzioni vivaistiche orticole. L’Informatore Agrario n°18-2003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176" w:line="267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Mainolfi P., Faraglia B. C., Ponti I., 2002. Quadro normativo per la certificazione e controllo dei vivai. I Georgofi</w:t>
                  </w:r>
                  <w:r>
                    <w:rPr>
                      <w:rFonts w:ascii="Arial" w:eastAsia="Arial" w:hAnsi="Arial" w:cs="Arial"/>
                    </w:rPr>
                    <w:t>li – Quaderni, 2002 – IV. 17-26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190" w:line="253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Tomassoli L., Faraglia B. C., 2001 - Il virus del mosaico del pepino. Atti Progetto POM A32: Validazione e trasferimento alla pratica agricola di norme tecniche per l’accertamento dello stato sanitario di specie ortofruttico</w:t>
                  </w:r>
                  <w:r>
                    <w:rPr>
                      <w:rFonts w:ascii="Arial" w:eastAsia="Arial" w:hAnsi="Arial" w:cs="Arial"/>
                    </w:rPr>
                    <w:t>le per patogeni pregiudizievoli alla qualità delle produzioni vivaistiche. Locorotondo, 4-7 dicembre 2001. 1117-1121.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203" w:line="271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Faraglia B. C., Menotti T., 1997 - L’Agricoltura secondo le regole di Maastricht. Liberazione, 21 ottobre 1997. 12.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202" w:line="242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CONVEGNI: CSLS – 2nd N</w:t>
                  </w:r>
                  <w:r>
                    <w:rPr>
                      <w:rFonts w:ascii="Arial" w:eastAsia="Arial" w:hAnsi="Arial" w:cs="Arial"/>
                    </w:rPr>
                    <w:t>ational meeting on wood packing – Milano: “ISPM 15 – National and international evolution. News to the operators”. 28/3/2008.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219" w:line="253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Accademia dei Georgofili – “Globalizazione e difesa delle colture” – Firenze: “Il Servizio fitosanitario nazionale alla luce delle nuove norme internazionali”. 29/11/2007.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186" w:line="257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EU Phare Projects: “Phytosanitary measures beyond accession” – Udine: “Compliance wi</w:t>
                  </w:r>
                  <w:r>
                    <w:rPr>
                      <w:rFonts w:ascii="Arial" w:eastAsia="Arial" w:hAnsi="Arial" w:cs="Arial"/>
                    </w:rPr>
                    <w:t>th EU phytosanitary and propagating materials legislations”. 24-25/6/2005.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187" w:line="256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Regione Sicilia – “Sweet Peel: promozione delle arance rosse siciliane negli USA” – Catania: “Caratteristiche fitosanitarie dei frutti di citrus nazionali per l’esportazione negli U</w:t>
                  </w:r>
                  <w:r>
                    <w:rPr>
                      <w:rFonts w:ascii="Arial" w:eastAsia="Arial" w:hAnsi="Arial" w:cs="Arial"/>
                    </w:rPr>
                    <w:t>SA”. 11/1/2005.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0" w:line="292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Veneto Agricoltura – Diabrotica e altri organismi nocivi del mais - Legnaro (PD): “Legislazione nazionale contro</w:t>
                  </w:r>
                </w:p>
                <w:p w:rsidR="000969EC" w:rsidRDefault="000F07C3">
                  <w:pPr>
                    <w:spacing w:after="184"/>
                    <w:ind w:left="187"/>
                  </w:pPr>
                  <w:r>
                    <w:rPr>
                      <w:rFonts w:ascii="Arial" w:eastAsia="Arial" w:hAnsi="Arial" w:cs="Arial"/>
                    </w:rPr>
                    <w:t>Diabrotica virgifera”. 16/12/2004.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178" w:line="265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ASSAM Marche – Emergenze fitosanitarie del Castagno nelle Marche: effetti sulla produzione n</w:t>
                  </w:r>
                  <w:r>
                    <w:rPr>
                      <w:rFonts w:ascii="Arial" w:eastAsia="Arial" w:hAnsi="Arial" w:cs="Arial"/>
                    </w:rPr>
                    <w:t>azionale - Ascoli Piceno: “Programmi ufficiali di contenimento contro le emergenze fitosanitarie nel settore agricolo e forestale”. 23/11/2004.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221" w:line="253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Assoindustria; Regione Puglia - Workshop on ISPM 15 – Bari: “Economia globale e protezione delle risorse foresta</w:t>
                  </w:r>
                  <w:r>
                    <w:rPr>
                      <w:rFonts w:ascii="Arial" w:eastAsia="Arial" w:hAnsi="Arial" w:cs="Arial"/>
                    </w:rPr>
                    <w:t>li”. 11/6/2004.</w:t>
                  </w:r>
                </w:p>
                <w:p w:rsidR="000969EC" w:rsidRDefault="000F07C3">
                  <w:pPr>
                    <w:numPr>
                      <w:ilvl w:val="0"/>
                      <w:numId w:val="4"/>
                    </w:numPr>
                    <w:spacing w:after="0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Università della Tuscia – Questioni fitosanitarie sulle latifoglie important nella Regione Lazio – Viterbo: “Il programma fitosanitario nazionale contro le emergenze fitosanitarie”. 16/4/2004.</w:t>
                  </w:r>
                </w:p>
              </w:tc>
            </w:tr>
          </w:tbl>
          <w:p w:rsidR="000969EC" w:rsidRDefault="000969EC"/>
        </w:tc>
      </w:tr>
    </w:tbl>
    <w:p w:rsidR="000969EC" w:rsidRDefault="000969EC">
      <w:pPr>
        <w:spacing w:after="0"/>
        <w:ind w:left="-1440" w:right="6659"/>
      </w:pPr>
    </w:p>
    <w:tbl>
      <w:tblPr>
        <w:tblStyle w:val="TableGrid"/>
        <w:tblW w:w="9641" w:type="dxa"/>
        <w:tblInd w:w="-59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6547"/>
      </w:tblGrid>
      <w:tr w:rsidR="000969EC">
        <w:trPr>
          <w:trHeight w:val="1037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0969EC" w:rsidRDefault="000F07C3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875600" cy="6587758"/>
                      <wp:effectExtent l="0" t="0" r="0" b="0"/>
                      <wp:docPr id="10847" name="Group 10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5600" cy="6587758"/>
                                <a:chOff x="0" y="0"/>
                                <a:chExt cx="1875600" cy="6587758"/>
                              </a:xfrm>
                            </wpg:grpSpPr>
                            <wps:wsp>
                              <wps:cNvPr id="12388" name="Shape 12388"/>
                              <wps:cNvSpPr/>
                              <wps:spPr>
                                <a:xfrm>
                                  <a:off x="3594" y="0"/>
                                  <a:ext cx="18684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411" h="9144">
                                      <a:moveTo>
                                        <a:pt x="0" y="0"/>
                                      </a:moveTo>
                                      <a:lnTo>
                                        <a:pt x="1868411" y="0"/>
                                      </a:lnTo>
                                      <a:lnTo>
                                        <a:pt x="18684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9" name="Shape 12389"/>
                              <wps:cNvSpPr/>
                              <wps:spPr>
                                <a:xfrm>
                                  <a:off x="0" y="1"/>
                                  <a:ext cx="9144" cy="6587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877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87757"/>
                                      </a:lnTo>
                                      <a:lnTo>
                                        <a:pt x="0" y="65877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0" name="Shape 12390"/>
                              <wps:cNvSpPr/>
                              <wps:spPr>
                                <a:xfrm>
                                  <a:off x="1872006" y="1"/>
                                  <a:ext cx="9144" cy="6587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877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87757"/>
                                      </a:lnTo>
                                      <a:lnTo>
                                        <a:pt x="0" y="65877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1" name="Shape 12391"/>
                              <wps:cNvSpPr/>
                              <wps:spPr>
                                <a:xfrm>
                                  <a:off x="3594" y="6584163"/>
                                  <a:ext cx="18684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411" h="9144">
                                      <a:moveTo>
                                        <a:pt x="0" y="0"/>
                                      </a:moveTo>
                                      <a:lnTo>
                                        <a:pt x="1868411" y="0"/>
                                      </a:lnTo>
                                      <a:lnTo>
                                        <a:pt x="18684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847" style="width:147.685pt;height:518.721pt;mso-position-horizontal-relative:char;mso-position-vertical-relative:line" coordsize="18756,65877">
                      <v:shape id="Shape 12392" style="position:absolute;width:18684;height:91;left:35;top:0;" coordsize="1868411,9144" path="m0,0l1868411,0l1868411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93" style="position:absolute;width:91;height:65877;left:0;top:0;" coordsize="9144,6587757" path="m0,0l9144,0l9144,6587757l0,65877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94" style="position:absolute;width:91;height:65877;left:18720;top:0;" coordsize="9144,6587757" path="m0,0l9144,0l9144,6587757l0,6587757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95" style="position:absolute;width:18684;height:91;left:35;top:65841;" coordsize="1868411,9144" path="m0,0l1868411,0l186841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</w:tcPr>
          <w:p w:rsidR="000969EC" w:rsidRDefault="000969EC">
            <w:pPr>
              <w:spacing w:after="0"/>
              <w:ind w:left="-3942" w:right="10488"/>
            </w:pPr>
          </w:p>
          <w:tbl>
            <w:tblPr>
              <w:tblStyle w:val="TableGrid"/>
              <w:tblW w:w="6406" w:type="dxa"/>
              <w:tblInd w:w="140" w:type="dxa"/>
              <w:tblCellMar>
                <w:top w:w="0" w:type="dxa"/>
                <w:left w:w="43" w:type="dxa"/>
                <w:bottom w:w="25" w:type="dxa"/>
                <w:right w:w="337" w:type="dxa"/>
              </w:tblCellMar>
              <w:tblLook w:val="04A0" w:firstRow="1" w:lastRow="0" w:firstColumn="1" w:lastColumn="0" w:noHBand="0" w:noVBand="1"/>
            </w:tblPr>
            <w:tblGrid>
              <w:gridCol w:w="6406"/>
            </w:tblGrid>
            <w:tr w:rsidR="000969EC">
              <w:trPr>
                <w:trHeight w:val="10369"/>
              </w:trPr>
              <w:tc>
                <w:tcPr>
                  <w:tcW w:w="64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205" w:line="267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Regione Piemonte – La difesa delle colture dagli organismi nocivi – Torino: “La storia del Servizio fitosanitario nazionale”. 17/12/2003.</w:t>
                  </w:r>
                </w:p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194" w:line="250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Regione Lombardia – Economia, globalizzazione e protezione delle risorse forestali - Sirmione (Brescia): “La legislazi</w:t>
                  </w:r>
                  <w:r>
                    <w:rPr>
                      <w:rFonts w:ascii="Arial" w:eastAsia="Arial" w:hAnsi="Arial" w:cs="Arial"/>
                    </w:rPr>
                    <w:t>one fitosanitaria internazionale e lo standard ISPM15 della FAO”. 27/11/2003.</w:t>
                  </w:r>
                </w:p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177" w:line="266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Accademia dei Georgofili - Workshop “Servizio nazionale di certificazione e controllo dei vivai” – Firenze: “Quadro normativo per la certificazione e controllo dei vivai”. 08/10/</w:t>
                  </w:r>
                  <w:r>
                    <w:rPr>
                      <w:rFonts w:ascii="Arial" w:eastAsia="Arial" w:hAnsi="Arial" w:cs="Arial"/>
                    </w:rPr>
                    <w:t>2002.</w:t>
                  </w:r>
                </w:p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221" w:line="253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Hastae Group; Regione Piemonte - Giornata di studio – Asti: “Misure di emergenza contro Flavescence doree e la legislazione nazionale”. 22/04/2002.</w:t>
                  </w:r>
                </w:p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233" w:line="240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Istituto Sperimentale di Viticoltura; Regione Veneto – Giornate di studio - Vittorio V.: “Norme fitosa</w:t>
                  </w:r>
                  <w:r>
                    <w:rPr>
                      <w:rFonts w:ascii="Arial" w:eastAsia="Arial" w:hAnsi="Arial" w:cs="Arial"/>
                    </w:rPr>
                    <w:t>nitarie e di qualità per il controllo e la certificazione del material di moltiplicazione della vite”. 5-6/06/2001.</w:t>
                  </w:r>
                </w:p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204" w:line="240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Unione Nazionale Associazioni Produttori di Patate (UNAPA);Università Cattolica – Cremona: “Punto di vista fitosanitario sul Potato Virus Y:</w:t>
                  </w:r>
                  <w:r>
                    <w:rPr>
                      <w:rFonts w:ascii="Arial" w:eastAsia="Arial" w:hAnsi="Arial" w:cs="Arial"/>
                    </w:rPr>
                    <w:t xml:space="preserve"> e possibilità di controllo”. 27/5/1999.</w:t>
                  </w:r>
                </w:p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0" w:line="292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Regione Lazio - Patate and altre solanacee: due malattie batteriche – Viterbo: “Legislazione nazionale per R.</w:t>
                  </w:r>
                </w:p>
                <w:p w:rsidR="000969EC" w:rsidRDefault="000F07C3">
                  <w:pPr>
                    <w:spacing w:after="214"/>
                    <w:ind w:left="187"/>
                  </w:pPr>
                  <w:r>
                    <w:rPr>
                      <w:rFonts w:ascii="Arial" w:eastAsia="Arial" w:hAnsi="Arial" w:cs="Arial"/>
                    </w:rPr>
                    <w:t>solanacearum and C, michiganensis”. 24/02/1999.</w:t>
                  </w:r>
                </w:p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202" w:line="243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Associazione Italiana Protezione delle Piante – Roma: “Metodi diagnostici per lo status fitosanitario dei semi e del material di moltiplicazione”. 4-5/12/1997</w:t>
                  </w:r>
                </w:p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187" w:line="256" w:lineRule="auto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Agrofarma - II° Conference of Mediterranean Country on pesticide legislations - Sevilla – Espana:</w:t>
                  </w:r>
                  <w:r>
                    <w:rPr>
                      <w:rFonts w:ascii="Arial" w:eastAsia="Arial" w:hAnsi="Arial" w:cs="Arial"/>
                    </w:rPr>
                    <w:t xml:space="preserve"> “Questions on registration of pesticide and their LMR in EU legislations”. 20-21/10/1994.</w:t>
                  </w:r>
                </w:p>
                <w:p w:rsidR="000969EC" w:rsidRDefault="000F07C3">
                  <w:pPr>
                    <w:numPr>
                      <w:ilvl w:val="0"/>
                      <w:numId w:val="5"/>
                    </w:numPr>
                    <w:spacing w:after="0"/>
                    <w:ind w:hanging="187"/>
                    <w:jc w:val="both"/>
                  </w:pPr>
                  <w:r>
                    <w:rPr>
                      <w:rFonts w:ascii="Arial" w:eastAsia="Arial" w:hAnsi="Arial" w:cs="Arial"/>
                    </w:rPr>
                    <w:t>Regione Lombardia - Il Passaporto delle piante – Brescia: “Il commercio intracomunitario e la nuova normativa europea e nazionale”. 13/10/1993.</w:t>
                  </w:r>
                </w:p>
              </w:tc>
            </w:tr>
          </w:tbl>
          <w:p w:rsidR="000969EC" w:rsidRDefault="000969EC"/>
        </w:tc>
      </w:tr>
    </w:tbl>
    <w:p w:rsidR="000F07C3" w:rsidRDefault="000F07C3"/>
    <w:sectPr w:rsidR="000F0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197" w:left="1440" w:header="453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C3" w:rsidRDefault="000F07C3">
      <w:pPr>
        <w:spacing w:after="0" w:line="240" w:lineRule="auto"/>
      </w:pPr>
      <w:r>
        <w:separator/>
      </w:r>
    </w:p>
  </w:endnote>
  <w:endnote w:type="continuationSeparator" w:id="0">
    <w:p w:rsidR="000F07C3" w:rsidRDefault="000F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EC" w:rsidRDefault="000F07C3">
    <w:pPr>
      <w:spacing w:after="0"/>
      <w:ind w:right="-59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539991</wp:posOffset>
              </wp:positionH>
              <wp:positionV relativeFrom="page">
                <wp:posOffset>10009416</wp:posOffset>
              </wp:positionV>
              <wp:extent cx="6480010" cy="3594"/>
              <wp:effectExtent l="0" t="0" r="0" b="0"/>
              <wp:wrapSquare wrapText="bothSides"/>
              <wp:docPr id="12178" name="Group 12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10" cy="3594"/>
                        <a:chOff x="0" y="0"/>
                        <a:chExt cx="6480010" cy="3594"/>
                      </a:xfrm>
                    </wpg:grpSpPr>
                    <wps:wsp>
                      <wps:cNvPr id="12400" name="Shape 12400"/>
                      <wps:cNvSpPr/>
                      <wps:spPr>
                        <a:xfrm>
                          <a:off x="0" y="0"/>
                          <a:ext cx="6480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10" h="9144">
                              <a:moveTo>
                                <a:pt x="0" y="0"/>
                              </a:moveTo>
                              <a:lnTo>
                                <a:pt x="6480010" y="0"/>
                              </a:lnTo>
                              <a:lnTo>
                                <a:pt x="6480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78" style="width:510.237pt;height:0.28302pt;position:absolute;mso-position-horizontal-relative:page;mso-position-horizontal:absolute;margin-left:42.519pt;mso-position-vertical-relative:page;margin-top:788.143pt;" coordsize="64800,35">
              <v:shape id="Shape 12401" style="position:absolute;width:64800;height:91;left:0;top:0;" coordsize="6480010,9144" path="m0,0l6480010,0l64800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EC" w:rsidRDefault="000F07C3">
    <w:pPr>
      <w:spacing w:after="0"/>
      <w:ind w:right="-59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539991</wp:posOffset>
              </wp:positionH>
              <wp:positionV relativeFrom="page">
                <wp:posOffset>10009416</wp:posOffset>
              </wp:positionV>
              <wp:extent cx="6480010" cy="3594"/>
              <wp:effectExtent l="0" t="0" r="0" b="0"/>
              <wp:wrapSquare wrapText="bothSides"/>
              <wp:docPr id="12155" name="Group 12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10" cy="3594"/>
                        <a:chOff x="0" y="0"/>
                        <a:chExt cx="6480010" cy="3594"/>
                      </a:xfrm>
                    </wpg:grpSpPr>
                    <wps:wsp>
                      <wps:cNvPr id="12398" name="Shape 12398"/>
                      <wps:cNvSpPr/>
                      <wps:spPr>
                        <a:xfrm>
                          <a:off x="0" y="0"/>
                          <a:ext cx="6480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10" h="9144">
                              <a:moveTo>
                                <a:pt x="0" y="0"/>
                              </a:moveTo>
                              <a:lnTo>
                                <a:pt x="6480010" y="0"/>
                              </a:lnTo>
                              <a:lnTo>
                                <a:pt x="6480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55" style="width:510.237pt;height:0.28302pt;position:absolute;mso-position-horizontal-relative:page;mso-position-horizontal:absolute;margin-left:42.519pt;mso-position-vertical-relative:page;margin-top:788.143pt;" coordsize="64800,35">
              <v:shape id="Shape 12399" style="position:absolute;width:64800;height:91;left:0;top:0;" coordsize="6480010,9144" path="m0,0l6480010,0l64800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1ED3" w:rsidRPr="00D91ED3">
      <w:rPr>
        <w:rFonts w:ascii="Arial" w:eastAsia="Arial" w:hAnsi="Arial" w:cs="Arial"/>
        <w:noProof/>
        <w:sz w:val="18"/>
      </w:rPr>
      <w:t>3</w:t>
    </w:r>
    <w:r>
      <w:rPr>
        <w:rFonts w:ascii="Arial" w:eastAsia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EC" w:rsidRDefault="000F07C3">
    <w:pPr>
      <w:spacing w:after="0"/>
      <w:ind w:right="-59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539991</wp:posOffset>
              </wp:positionH>
              <wp:positionV relativeFrom="page">
                <wp:posOffset>10009416</wp:posOffset>
              </wp:positionV>
              <wp:extent cx="6480010" cy="3594"/>
              <wp:effectExtent l="0" t="0" r="0" b="0"/>
              <wp:wrapSquare wrapText="bothSides"/>
              <wp:docPr id="12132" name="Group 12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10" cy="3594"/>
                        <a:chOff x="0" y="0"/>
                        <a:chExt cx="6480010" cy="3594"/>
                      </a:xfrm>
                    </wpg:grpSpPr>
                    <wps:wsp>
                      <wps:cNvPr id="12396" name="Shape 12396"/>
                      <wps:cNvSpPr/>
                      <wps:spPr>
                        <a:xfrm>
                          <a:off x="0" y="0"/>
                          <a:ext cx="6480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10" h="9144">
                              <a:moveTo>
                                <a:pt x="0" y="0"/>
                              </a:moveTo>
                              <a:lnTo>
                                <a:pt x="6480010" y="0"/>
                              </a:lnTo>
                              <a:lnTo>
                                <a:pt x="6480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32" style="width:510.237pt;height:0.28302pt;position:absolute;mso-position-horizontal-relative:page;mso-position-horizontal:absolute;margin-left:42.519pt;mso-position-vertical-relative:page;margin-top:788.143pt;" coordsize="64800,35">
              <v:shape id="Shape 12397" style="position:absolute;width:64800;height:91;left:0;top:0;" coordsize="6480010,9144" path="m0,0l6480010,0l64800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C3" w:rsidRDefault="000F07C3">
      <w:pPr>
        <w:spacing w:after="0" w:line="240" w:lineRule="auto"/>
      </w:pPr>
      <w:r>
        <w:separator/>
      </w:r>
    </w:p>
  </w:footnote>
  <w:footnote w:type="continuationSeparator" w:id="0">
    <w:p w:rsidR="000F07C3" w:rsidRDefault="000F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50" w:tblpY="456"/>
      <w:tblOverlap w:val="never"/>
      <w:tblW w:w="2948" w:type="dxa"/>
      <w:tblInd w:w="0" w:type="dxa"/>
      <w:tblCellMar>
        <w:top w:w="84" w:type="dxa"/>
        <w:left w:w="115" w:type="dxa"/>
        <w:bottom w:w="0" w:type="dxa"/>
        <w:right w:w="70" w:type="dxa"/>
      </w:tblCellMar>
      <w:tblLook w:val="04A0" w:firstRow="1" w:lastRow="0" w:firstColumn="1" w:lastColumn="0" w:noHBand="0" w:noVBand="1"/>
    </w:tblPr>
    <w:tblGrid>
      <w:gridCol w:w="2948"/>
    </w:tblGrid>
    <w:tr w:rsidR="000969EC">
      <w:trPr>
        <w:trHeight w:val="899"/>
      </w:trPr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0969EC" w:rsidRDefault="000F07C3">
          <w:pPr>
            <w:spacing w:after="0"/>
            <w:jc w:val="right"/>
          </w:pPr>
          <w:r>
            <w:rPr>
              <w:rFonts w:ascii="Arial" w:eastAsia="Arial" w:hAnsi="Arial" w:cs="Arial"/>
              <w:b/>
              <w:sz w:val="24"/>
            </w:rPr>
            <w:t>CURRICULUM VITAE</w:t>
          </w:r>
        </w:p>
      </w:tc>
    </w:tr>
  </w:tbl>
  <w:p w:rsidR="000969EC" w:rsidRDefault="000969EC">
    <w:pPr>
      <w:spacing w:after="0"/>
      <w:ind w:left="-1440" w:right="666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50" w:tblpY="456"/>
      <w:tblOverlap w:val="never"/>
      <w:tblW w:w="2948" w:type="dxa"/>
      <w:tblInd w:w="0" w:type="dxa"/>
      <w:tblCellMar>
        <w:top w:w="84" w:type="dxa"/>
        <w:left w:w="115" w:type="dxa"/>
        <w:bottom w:w="0" w:type="dxa"/>
        <w:right w:w="70" w:type="dxa"/>
      </w:tblCellMar>
      <w:tblLook w:val="04A0" w:firstRow="1" w:lastRow="0" w:firstColumn="1" w:lastColumn="0" w:noHBand="0" w:noVBand="1"/>
    </w:tblPr>
    <w:tblGrid>
      <w:gridCol w:w="2948"/>
    </w:tblGrid>
    <w:tr w:rsidR="000969EC">
      <w:trPr>
        <w:trHeight w:val="899"/>
      </w:trPr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0969EC" w:rsidRDefault="000F07C3">
          <w:pPr>
            <w:spacing w:after="0"/>
            <w:jc w:val="right"/>
          </w:pPr>
          <w:r>
            <w:rPr>
              <w:rFonts w:ascii="Arial" w:eastAsia="Arial" w:hAnsi="Arial" w:cs="Arial"/>
              <w:b/>
              <w:sz w:val="24"/>
            </w:rPr>
            <w:t>CURRICULUM VITAE</w:t>
          </w:r>
        </w:p>
      </w:tc>
    </w:tr>
  </w:tbl>
  <w:p w:rsidR="000969EC" w:rsidRDefault="000969EC">
    <w:pPr>
      <w:spacing w:after="0"/>
      <w:ind w:left="-1440" w:right="66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50" w:tblpY="456"/>
      <w:tblOverlap w:val="never"/>
      <w:tblW w:w="2948" w:type="dxa"/>
      <w:tblInd w:w="0" w:type="dxa"/>
      <w:tblCellMar>
        <w:top w:w="84" w:type="dxa"/>
        <w:left w:w="115" w:type="dxa"/>
        <w:bottom w:w="0" w:type="dxa"/>
        <w:right w:w="70" w:type="dxa"/>
      </w:tblCellMar>
      <w:tblLook w:val="04A0" w:firstRow="1" w:lastRow="0" w:firstColumn="1" w:lastColumn="0" w:noHBand="0" w:noVBand="1"/>
    </w:tblPr>
    <w:tblGrid>
      <w:gridCol w:w="2948"/>
    </w:tblGrid>
    <w:tr w:rsidR="000969EC">
      <w:trPr>
        <w:trHeight w:val="899"/>
      </w:trPr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0969EC" w:rsidRDefault="000F07C3">
          <w:pPr>
            <w:spacing w:after="0"/>
            <w:jc w:val="right"/>
          </w:pPr>
          <w:r>
            <w:rPr>
              <w:rFonts w:ascii="Arial" w:eastAsia="Arial" w:hAnsi="Arial" w:cs="Arial"/>
              <w:b/>
              <w:sz w:val="24"/>
            </w:rPr>
            <w:t>CURRICULUM VITAE</w:t>
          </w:r>
        </w:p>
      </w:tc>
    </w:tr>
  </w:tbl>
  <w:p w:rsidR="000969EC" w:rsidRDefault="000969EC">
    <w:pPr>
      <w:spacing w:after="0"/>
      <w:ind w:left="-1440" w:right="66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12B4"/>
    <w:multiLevelType w:val="hybridMultilevel"/>
    <w:tmpl w:val="5F48D94A"/>
    <w:lvl w:ilvl="0" w:tplc="77EAB38A">
      <w:start w:val="1"/>
      <w:numFmt w:val="bullet"/>
      <w:lvlText w:val="-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630C6">
      <w:start w:val="1"/>
      <w:numFmt w:val="bullet"/>
      <w:lvlText w:val="o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D06EBE">
      <w:start w:val="1"/>
      <w:numFmt w:val="bullet"/>
      <w:lvlText w:val="▪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8C88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E15BE">
      <w:start w:val="1"/>
      <w:numFmt w:val="bullet"/>
      <w:lvlText w:val="o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674CC">
      <w:start w:val="1"/>
      <w:numFmt w:val="bullet"/>
      <w:lvlText w:val="▪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68D06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2FADE">
      <w:start w:val="1"/>
      <w:numFmt w:val="bullet"/>
      <w:lvlText w:val="o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AF9CA">
      <w:start w:val="1"/>
      <w:numFmt w:val="bullet"/>
      <w:lvlText w:val="▪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65AF0"/>
    <w:multiLevelType w:val="hybridMultilevel"/>
    <w:tmpl w:val="06F2DBB0"/>
    <w:lvl w:ilvl="0" w:tplc="6B1811D8">
      <w:start w:val="1"/>
      <w:numFmt w:val="bullet"/>
      <w:lvlText w:val="-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410F6">
      <w:start w:val="1"/>
      <w:numFmt w:val="bullet"/>
      <w:lvlText w:val="o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4A650">
      <w:start w:val="1"/>
      <w:numFmt w:val="bullet"/>
      <w:lvlText w:val="▪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643F8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41548">
      <w:start w:val="1"/>
      <w:numFmt w:val="bullet"/>
      <w:lvlText w:val="o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A3CB2">
      <w:start w:val="1"/>
      <w:numFmt w:val="bullet"/>
      <w:lvlText w:val="▪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AFC32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4E9F0A">
      <w:start w:val="1"/>
      <w:numFmt w:val="bullet"/>
      <w:lvlText w:val="o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9C7724">
      <w:start w:val="1"/>
      <w:numFmt w:val="bullet"/>
      <w:lvlText w:val="▪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51F78"/>
    <w:multiLevelType w:val="hybridMultilevel"/>
    <w:tmpl w:val="EF8216F8"/>
    <w:lvl w:ilvl="0" w:tplc="A86474E2">
      <w:start w:val="1"/>
      <w:numFmt w:val="bullet"/>
      <w:lvlText w:val="-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CC17C">
      <w:start w:val="1"/>
      <w:numFmt w:val="bullet"/>
      <w:lvlText w:val="o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6CD404">
      <w:start w:val="1"/>
      <w:numFmt w:val="bullet"/>
      <w:lvlText w:val="▪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D29E0A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23304">
      <w:start w:val="1"/>
      <w:numFmt w:val="bullet"/>
      <w:lvlText w:val="o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D20420">
      <w:start w:val="1"/>
      <w:numFmt w:val="bullet"/>
      <w:lvlText w:val="▪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A0140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814B0">
      <w:start w:val="1"/>
      <w:numFmt w:val="bullet"/>
      <w:lvlText w:val="o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E0970">
      <w:start w:val="1"/>
      <w:numFmt w:val="bullet"/>
      <w:lvlText w:val="▪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7E5044"/>
    <w:multiLevelType w:val="hybridMultilevel"/>
    <w:tmpl w:val="2ACADAE4"/>
    <w:lvl w:ilvl="0" w:tplc="FF6EC082">
      <w:start w:val="1"/>
      <w:numFmt w:val="bullet"/>
      <w:lvlText w:val="-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0C108">
      <w:start w:val="1"/>
      <w:numFmt w:val="bullet"/>
      <w:lvlText w:val="o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EE8A8">
      <w:start w:val="1"/>
      <w:numFmt w:val="bullet"/>
      <w:lvlText w:val="▪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453F0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A1668">
      <w:start w:val="1"/>
      <w:numFmt w:val="bullet"/>
      <w:lvlText w:val="o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E23C74">
      <w:start w:val="1"/>
      <w:numFmt w:val="bullet"/>
      <w:lvlText w:val="▪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8F388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E5B7E">
      <w:start w:val="1"/>
      <w:numFmt w:val="bullet"/>
      <w:lvlText w:val="o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E0DEA">
      <w:start w:val="1"/>
      <w:numFmt w:val="bullet"/>
      <w:lvlText w:val="▪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34273"/>
    <w:multiLevelType w:val="hybridMultilevel"/>
    <w:tmpl w:val="12F8FB6A"/>
    <w:lvl w:ilvl="0" w:tplc="B2329786">
      <w:start w:val="1"/>
      <w:numFmt w:val="bullet"/>
      <w:lvlText w:val="-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E6E92">
      <w:start w:val="1"/>
      <w:numFmt w:val="bullet"/>
      <w:lvlText w:val="o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84A9E">
      <w:start w:val="1"/>
      <w:numFmt w:val="bullet"/>
      <w:lvlText w:val="▪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A355C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A9880">
      <w:start w:val="1"/>
      <w:numFmt w:val="bullet"/>
      <w:lvlText w:val="o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674F2">
      <w:start w:val="1"/>
      <w:numFmt w:val="bullet"/>
      <w:lvlText w:val="▪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C29C2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6877A">
      <w:start w:val="1"/>
      <w:numFmt w:val="bullet"/>
      <w:lvlText w:val="o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0A050">
      <w:start w:val="1"/>
      <w:numFmt w:val="bullet"/>
      <w:lvlText w:val="▪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EC"/>
    <w:rsid w:val="000969EC"/>
    <w:rsid w:val="000F07C3"/>
    <w:rsid w:val="00D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1AA2DC5-CBD7-44C1-B334-8F332290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Aliucci</dc:creator>
  <cp:keywords>Au37xmTkFv87vMJMZYjWIA==</cp:keywords>
  <cp:lastModifiedBy>Lorella Aliucci</cp:lastModifiedBy>
  <cp:revision>2</cp:revision>
  <dcterms:created xsi:type="dcterms:W3CDTF">2024-11-19T14:44:00Z</dcterms:created>
  <dcterms:modified xsi:type="dcterms:W3CDTF">2024-11-19T14:44:00Z</dcterms:modified>
</cp:coreProperties>
</file>