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527629697"/>
        <w:docPartObj>
          <w:docPartGallery w:val="Cover Pages"/>
          <w:docPartUnique/>
        </w:docPartObj>
      </w:sdtPr>
      <w:sdtEndPr>
        <w:rPr>
          <w:noProof/>
        </w:rPr>
      </w:sdtEndPr>
      <w:sdtContent>
        <w:p w14:paraId="31DC21A3" w14:textId="239D8594" w:rsidR="006E5B5A" w:rsidRDefault="005D2AC4">
          <w:r>
            <w:rPr>
              <w:noProof/>
            </w:rPr>
            <w:drawing>
              <wp:anchor distT="0" distB="0" distL="0" distR="0" simplePos="0" relativeHeight="251674624" behindDoc="0" locked="0" layoutInCell="1" allowOverlap="1" wp14:anchorId="2DCAB4BC" wp14:editId="066232C9">
                <wp:simplePos x="0" y="0"/>
                <wp:positionH relativeFrom="margin">
                  <wp:posOffset>5174351</wp:posOffset>
                </wp:positionH>
                <wp:positionV relativeFrom="margin">
                  <wp:posOffset>-294005</wp:posOffset>
                </wp:positionV>
                <wp:extent cx="772160" cy="1040130"/>
                <wp:effectExtent l="0" t="0" r="8890" b="7620"/>
                <wp:wrapSquare wrapText="bothSides"/>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rotWithShape="1">
                        <a:blip r:embed="rId8" cstate="print"/>
                        <a:srcRect l="80753"/>
                        <a:stretch/>
                      </pic:blipFill>
                      <pic:spPr bwMode="auto">
                        <a:xfrm>
                          <a:off x="0" y="0"/>
                          <a:ext cx="772160" cy="10401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3200D">
            <w:rPr>
              <w:noProof/>
            </w:rPr>
            <w:drawing>
              <wp:anchor distT="0" distB="0" distL="114300" distR="114300" simplePos="0" relativeHeight="251676672" behindDoc="0" locked="0" layoutInCell="1" allowOverlap="1" wp14:anchorId="20014164" wp14:editId="71D94738">
                <wp:simplePos x="0" y="0"/>
                <wp:positionH relativeFrom="margin">
                  <wp:posOffset>-265814</wp:posOffset>
                </wp:positionH>
                <wp:positionV relativeFrom="margin">
                  <wp:align>top</wp:align>
                </wp:positionV>
                <wp:extent cx="2083435" cy="436880"/>
                <wp:effectExtent l="0" t="0" r="0" b="1270"/>
                <wp:wrapSquare wrapText="bothSides"/>
                <wp:docPr id="47499411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994110" name="Immagine 4749941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83435" cy="436880"/>
                        </a:xfrm>
                        <a:prstGeom prst="rect">
                          <a:avLst/>
                        </a:prstGeom>
                      </pic:spPr>
                    </pic:pic>
                  </a:graphicData>
                </a:graphic>
                <wp14:sizeRelH relativeFrom="page">
                  <wp14:pctWidth>0</wp14:pctWidth>
                </wp14:sizeRelH>
                <wp14:sizeRelV relativeFrom="page">
                  <wp14:pctHeight>0</wp14:pctHeight>
                </wp14:sizeRelV>
              </wp:anchor>
            </w:drawing>
          </w:r>
          <w:r w:rsidR="00B3200D">
            <w:rPr>
              <w:noProof/>
            </w:rPr>
            <w:drawing>
              <wp:anchor distT="0" distB="0" distL="114300" distR="114300" simplePos="0" relativeHeight="251677696" behindDoc="0" locked="0" layoutInCell="1" allowOverlap="1" wp14:anchorId="2CF69FD0" wp14:editId="15798468">
                <wp:simplePos x="0" y="0"/>
                <wp:positionH relativeFrom="margin">
                  <wp:posOffset>4294165</wp:posOffset>
                </wp:positionH>
                <wp:positionV relativeFrom="margin">
                  <wp:posOffset>-272090</wp:posOffset>
                </wp:positionV>
                <wp:extent cx="822325" cy="1033145"/>
                <wp:effectExtent l="0" t="0" r="0" b="0"/>
                <wp:wrapSquare wrapText="bothSides"/>
                <wp:docPr id="163560658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606580" name="Immagine 163560658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2325" cy="1033145"/>
                        </a:xfrm>
                        <a:prstGeom prst="rect">
                          <a:avLst/>
                        </a:prstGeom>
                      </pic:spPr>
                    </pic:pic>
                  </a:graphicData>
                </a:graphic>
                <wp14:sizeRelH relativeFrom="page">
                  <wp14:pctWidth>0</wp14:pctWidth>
                </wp14:sizeRelH>
                <wp14:sizeRelV relativeFrom="page">
                  <wp14:pctHeight>0</wp14:pctHeight>
                </wp14:sizeRelV>
              </wp:anchor>
            </w:drawing>
          </w:r>
          <w:r w:rsidR="00B3200D" w:rsidRPr="00BC046B">
            <w:rPr>
              <w:noProof/>
              <w:sz w:val="20"/>
            </w:rPr>
            <w:drawing>
              <wp:anchor distT="0" distB="0" distL="114300" distR="114300" simplePos="0" relativeHeight="251675648" behindDoc="0" locked="0" layoutInCell="1" allowOverlap="1" wp14:anchorId="74AC8C1F" wp14:editId="6D1A317D">
                <wp:simplePos x="0" y="0"/>
                <wp:positionH relativeFrom="margin">
                  <wp:posOffset>1860107</wp:posOffset>
                </wp:positionH>
                <wp:positionV relativeFrom="margin">
                  <wp:align>top</wp:align>
                </wp:positionV>
                <wp:extent cx="2238375" cy="323850"/>
                <wp:effectExtent l="0" t="0" r="9525" b="0"/>
                <wp:wrapSquare wrapText="bothSides"/>
                <wp:docPr id="1855055017" name="Immagine 1855055017" descr="https://www.politicheagricole.it/flex/images/1/8/9/D.7090bf00187bcdc5af86/MASAF_LOGO_ORIZ_POSITIVO_picco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 descr="https://www.politicheagricole.it/flex/images/1/8/9/D.7090bf00187bcdc5af86/MASAF_LOGO_ORIZ_POSITIVO_piccol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38375" cy="323850"/>
                        </a:xfrm>
                        <a:prstGeom prst="rect">
                          <a:avLst/>
                        </a:prstGeom>
                        <a:noFill/>
                        <a:ln>
                          <a:noFill/>
                        </a:ln>
                      </pic:spPr>
                    </pic:pic>
                  </a:graphicData>
                </a:graphic>
              </wp:anchor>
            </w:drawing>
          </w:r>
        </w:p>
        <w:p w14:paraId="5059B324" w14:textId="4D37DBB5" w:rsidR="00393F4C" w:rsidRDefault="00393F4C" w:rsidP="001E429D">
          <w:pPr>
            <w:spacing w:after="160" w:line="259" w:lineRule="auto"/>
            <w:rPr>
              <w:noProof/>
            </w:rPr>
          </w:pPr>
        </w:p>
        <w:p w14:paraId="021D7F9C" w14:textId="67684970" w:rsidR="00393F4C" w:rsidRDefault="008D1178" w:rsidP="001E429D">
          <w:pPr>
            <w:spacing w:after="160" w:line="259" w:lineRule="auto"/>
            <w:rPr>
              <w:noProof/>
            </w:rPr>
          </w:pPr>
          <w:r w:rsidRPr="00930C28">
            <w:rPr>
              <w:noProof/>
            </w:rPr>
            <w:drawing>
              <wp:anchor distT="0" distB="0" distL="114300" distR="114300" simplePos="0" relativeHeight="251664384" behindDoc="0" locked="0" layoutInCell="1" allowOverlap="1" wp14:anchorId="07F5CB39" wp14:editId="08DB4C80">
                <wp:simplePos x="0" y="0"/>
                <wp:positionH relativeFrom="page">
                  <wp:align>left</wp:align>
                </wp:positionH>
                <wp:positionV relativeFrom="margin">
                  <wp:posOffset>1113790</wp:posOffset>
                </wp:positionV>
                <wp:extent cx="8801100" cy="5915025"/>
                <wp:effectExtent l="0" t="0" r="0" b="9525"/>
                <wp:wrapSquare wrapText="bothSides"/>
                <wp:docPr id="3" name="Picture 4" descr="Landscape, Hay, Agriculture, Nature, Field, Summer">
                  <a:extLst xmlns:a="http://schemas.openxmlformats.org/drawingml/2006/main">
                    <a:ext uri="{FF2B5EF4-FFF2-40B4-BE49-F238E27FC236}">
                      <a16:creationId xmlns:a16="http://schemas.microsoft.com/office/drawing/2014/main" id="{9A62F128-B55F-413B-B3AB-D0AAF6684A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Landscape, Hay, Agriculture, Nature, Field, Summer">
                          <a:extLst>
                            <a:ext uri="{FF2B5EF4-FFF2-40B4-BE49-F238E27FC236}">
                              <a16:creationId xmlns:a16="http://schemas.microsoft.com/office/drawing/2014/main" id="{9A62F128-B55F-413B-B3AB-D0AAF6684AA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01100" cy="5915025"/>
                        </a:xfrm>
                        <a:prstGeom prst="rect">
                          <a:avLst/>
                        </a:prstGeom>
                        <a:noFill/>
                      </pic:spPr>
                    </pic:pic>
                  </a:graphicData>
                </a:graphic>
                <wp14:sizeRelV relativeFrom="margin">
                  <wp14:pctHeight>0</wp14:pctHeight>
                </wp14:sizeRelV>
              </wp:anchor>
            </w:drawing>
          </w:r>
        </w:p>
        <w:p w14:paraId="00CFB87A" w14:textId="34B16C8E" w:rsidR="00393F4C" w:rsidRDefault="00393F4C" w:rsidP="008D1178">
          <w:pPr>
            <w:rPr>
              <w:noProof/>
            </w:rPr>
          </w:pPr>
        </w:p>
        <w:p w14:paraId="3727F28A" w14:textId="23EA2944" w:rsidR="008D1178" w:rsidRPr="008D1178" w:rsidRDefault="008D1178" w:rsidP="008D1178">
          <w:pPr>
            <w:rPr>
              <w:rFonts w:ascii="Arial" w:hAnsi="Arial" w:cs="Arial"/>
              <w:b/>
              <w:bCs/>
              <w:noProof/>
              <w:sz w:val="32"/>
              <w:szCs w:val="32"/>
            </w:rPr>
          </w:pPr>
          <w:r w:rsidRPr="008D1178">
            <w:rPr>
              <w:rFonts w:ascii="Arial" w:hAnsi="Arial" w:cs="Arial"/>
              <w:b/>
              <w:bCs/>
              <w:noProof/>
              <w:sz w:val="32"/>
              <w:szCs w:val="32"/>
            </w:rPr>
            <w:t>PSR ABRUZZO 2014-2022</w:t>
          </w:r>
        </w:p>
        <w:p w14:paraId="04CE5F32" w14:textId="55CB010E" w:rsidR="008D1178" w:rsidRPr="008D1178" w:rsidRDefault="008D1178" w:rsidP="008D1178">
          <w:pPr>
            <w:rPr>
              <w:rFonts w:ascii="Arial" w:hAnsi="Arial" w:cs="Arial"/>
              <w:b/>
              <w:bCs/>
              <w:noProof/>
              <w:sz w:val="28"/>
              <w:szCs w:val="28"/>
            </w:rPr>
          </w:pPr>
          <w:r w:rsidRPr="008D1178">
            <w:rPr>
              <w:rFonts w:ascii="Arial" w:hAnsi="Arial" w:cs="Arial"/>
              <w:b/>
              <w:bCs/>
              <w:noProof/>
              <w:sz w:val="28"/>
              <w:szCs w:val="28"/>
            </w:rPr>
            <w:t>DIPARTIMENTO AGRICOLTURA</w:t>
          </w:r>
        </w:p>
        <w:p w14:paraId="48B6607E" w14:textId="77777777" w:rsidR="008D1178" w:rsidRPr="008D1178" w:rsidRDefault="008D1178" w:rsidP="008D1178">
          <w:pPr>
            <w:rPr>
              <w:rFonts w:ascii="Arial" w:hAnsi="Arial" w:cs="Arial"/>
              <w:b/>
              <w:bCs/>
              <w:noProof/>
              <w:sz w:val="28"/>
              <w:szCs w:val="28"/>
            </w:rPr>
          </w:pPr>
        </w:p>
        <w:p w14:paraId="74738A5F" w14:textId="77777777" w:rsidR="008D1178" w:rsidRPr="008D1178" w:rsidRDefault="008D1178" w:rsidP="008D1178">
          <w:pPr>
            <w:rPr>
              <w:rFonts w:ascii="Arial" w:hAnsi="Arial" w:cs="Arial"/>
              <w:b/>
              <w:bCs/>
              <w:noProof/>
              <w:sz w:val="28"/>
              <w:szCs w:val="28"/>
            </w:rPr>
          </w:pPr>
        </w:p>
        <w:p w14:paraId="1FABF38D" w14:textId="2603A23B" w:rsidR="008D1178" w:rsidRPr="008D1178" w:rsidRDefault="008D1178" w:rsidP="008D1178">
          <w:pPr>
            <w:jc w:val="both"/>
            <w:rPr>
              <w:rFonts w:ascii="Arial" w:hAnsi="Arial" w:cs="Arial"/>
              <w:b/>
              <w:bCs/>
              <w:noProof/>
              <w:sz w:val="36"/>
              <w:szCs w:val="36"/>
            </w:rPr>
          </w:pPr>
          <w:r w:rsidRPr="008D1178">
            <w:rPr>
              <w:rFonts w:ascii="Arial" w:hAnsi="Arial" w:cs="Arial"/>
              <w:b/>
              <w:bCs/>
              <w:noProof/>
              <w:sz w:val="36"/>
              <w:szCs w:val="36"/>
            </w:rPr>
            <w:t>Report informativo sulla gestione del tasso di errore nello sviluppo rurale</w:t>
          </w:r>
        </w:p>
        <w:p w14:paraId="5874E833" w14:textId="77777777" w:rsidR="008D1178" w:rsidRPr="008D1178" w:rsidRDefault="008D1178" w:rsidP="008D1178">
          <w:pPr>
            <w:rPr>
              <w:rFonts w:ascii="Arial" w:hAnsi="Arial" w:cs="Arial"/>
              <w:noProof/>
              <w:sz w:val="10"/>
              <w:szCs w:val="10"/>
            </w:rPr>
          </w:pPr>
        </w:p>
        <w:p w14:paraId="57EB2EF7" w14:textId="77777777" w:rsidR="008D1178" w:rsidRDefault="008D1178" w:rsidP="008D1178">
          <w:pPr>
            <w:rPr>
              <w:rFonts w:ascii="Arial" w:hAnsi="Arial" w:cs="Arial"/>
              <w:noProof/>
              <w:sz w:val="28"/>
              <w:szCs w:val="28"/>
            </w:rPr>
          </w:pPr>
        </w:p>
        <w:p w14:paraId="515DA1CA" w14:textId="4F734DB9" w:rsidR="001E429D" w:rsidRPr="008D1178" w:rsidRDefault="008D1178" w:rsidP="008D1178">
          <w:pPr>
            <w:rPr>
              <w:rFonts w:ascii="Arial" w:hAnsi="Arial" w:cs="Arial"/>
              <w:b/>
              <w:bCs/>
              <w:i/>
              <w:iCs/>
              <w:noProof/>
            </w:rPr>
          </w:pPr>
          <w:r w:rsidRPr="008D1178">
            <w:rPr>
              <w:rFonts w:ascii="Arial" w:hAnsi="Arial" w:cs="Arial"/>
              <w:b/>
              <w:bCs/>
              <w:i/>
              <w:iCs/>
              <w:noProof/>
            </w:rPr>
            <w:t>Dati aggiornati a</w:t>
          </w:r>
          <w:r w:rsidR="003432F1">
            <w:rPr>
              <w:rFonts w:ascii="Arial" w:hAnsi="Arial" w:cs="Arial"/>
              <w:b/>
              <w:bCs/>
              <w:i/>
              <w:iCs/>
              <w:noProof/>
            </w:rPr>
            <w:t xml:space="preserve"> </w:t>
          </w:r>
          <w:r w:rsidR="00B3200D">
            <w:rPr>
              <w:rFonts w:ascii="Arial" w:hAnsi="Arial" w:cs="Arial"/>
              <w:b/>
              <w:bCs/>
              <w:i/>
              <w:iCs/>
              <w:noProof/>
            </w:rPr>
            <w:t>novembre</w:t>
          </w:r>
          <w:r w:rsidR="00D822F9">
            <w:rPr>
              <w:rFonts w:ascii="Arial" w:hAnsi="Arial" w:cs="Arial"/>
              <w:b/>
              <w:bCs/>
              <w:i/>
              <w:iCs/>
              <w:noProof/>
            </w:rPr>
            <w:t xml:space="preserve"> 2024</w:t>
          </w:r>
        </w:p>
      </w:sdtContent>
    </w:sdt>
    <w:bookmarkStart w:id="0" w:name="_Toc96638550" w:displacedByCustomXml="prev"/>
    <w:p w14:paraId="1E1F4781" w14:textId="6AD4A959" w:rsidR="00930C28" w:rsidRPr="001E429D" w:rsidRDefault="00B27D76" w:rsidP="008B7EF0">
      <w:pPr>
        <w:pStyle w:val="Titolo"/>
        <w:jc w:val="both"/>
        <w:rPr>
          <w:b/>
          <w:bCs/>
          <w:noProof/>
          <w:sz w:val="14"/>
          <w:szCs w:val="14"/>
        </w:rPr>
      </w:pPr>
      <w:r w:rsidRPr="001E429D">
        <w:rPr>
          <w:b/>
          <w:bCs/>
          <w:sz w:val="36"/>
          <w:szCs w:val="36"/>
        </w:rPr>
        <w:lastRenderedPageBreak/>
        <w:t>1</w:t>
      </w:r>
      <w:r w:rsidR="00591B4C" w:rsidRPr="001E429D">
        <w:rPr>
          <w:b/>
          <w:bCs/>
          <w:sz w:val="36"/>
          <w:szCs w:val="36"/>
        </w:rPr>
        <w:t xml:space="preserve">. </w:t>
      </w:r>
      <w:bookmarkEnd w:id="0"/>
      <w:r w:rsidR="00BC56F1" w:rsidRPr="00BC56F1">
        <w:rPr>
          <w:b/>
          <w:bCs/>
          <w:sz w:val="36"/>
          <w:szCs w:val="36"/>
        </w:rPr>
        <w:t>IL SISTEMA DEI CONTROLLI DELLO SVILUPPO RURALE</w:t>
      </w:r>
      <w:r w:rsidR="00DB368A" w:rsidRPr="00DB368A">
        <w:rPr>
          <w:rStyle w:val="Rimandonotaapidipagina"/>
          <w:b/>
          <w:bCs/>
          <w:sz w:val="22"/>
          <w:szCs w:val="22"/>
        </w:rPr>
        <w:footnoteReference w:id="1"/>
      </w:r>
      <w:r w:rsidR="0070191E">
        <w:rPr>
          <w:b/>
          <w:bCs/>
          <w:sz w:val="36"/>
          <w:szCs w:val="36"/>
        </w:rPr>
        <w:t xml:space="preserve">: </w:t>
      </w:r>
      <w:r w:rsidR="008B7EF0">
        <w:rPr>
          <w:b/>
          <w:bCs/>
          <w:sz w:val="36"/>
          <w:szCs w:val="36"/>
        </w:rPr>
        <w:t>FRAMEWORK UNIONALE E NAZIONALE</w:t>
      </w:r>
    </w:p>
    <w:p w14:paraId="1A3DC1E6" w14:textId="010A96DC" w:rsidR="00B27D76" w:rsidRPr="00BB5B2C" w:rsidRDefault="00B27D76" w:rsidP="00B27D76">
      <w:pPr>
        <w:rPr>
          <w:sz w:val="10"/>
          <w:szCs w:val="10"/>
        </w:rPr>
      </w:pPr>
    </w:p>
    <w:p w14:paraId="2EA3E086" w14:textId="77777777" w:rsidR="00BC56F1" w:rsidRDefault="00BC56F1" w:rsidP="00E479A8">
      <w:pPr>
        <w:jc w:val="both"/>
        <w:rPr>
          <w:sz w:val="22"/>
          <w:szCs w:val="22"/>
        </w:rPr>
      </w:pPr>
    </w:p>
    <w:p w14:paraId="0FB62CB2" w14:textId="54EE6736" w:rsidR="00BC56F1" w:rsidRPr="00EC7E93" w:rsidRDefault="00B33F26" w:rsidP="00BC56F1">
      <w:pPr>
        <w:pStyle w:val="Paragrafoelenco"/>
        <w:numPr>
          <w:ilvl w:val="1"/>
          <w:numId w:val="11"/>
        </w:numPr>
        <w:jc w:val="both"/>
        <w:rPr>
          <w:b/>
          <w:bCs/>
          <w:sz w:val="22"/>
          <w:szCs w:val="22"/>
        </w:rPr>
      </w:pPr>
      <w:r w:rsidRPr="00EC7E93">
        <w:rPr>
          <w:b/>
          <w:bCs/>
          <w:sz w:val="22"/>
          <w:szCs w:val="22"/>
        </w:rPr>
        <w:t>GLI AUDIT DELLE ISTITUZIONI COMUNITARIE</w:t>
      </w:r>
    </w:p>
    <w:p w14:paraId="1E221B44" w14:textId="77777777" w:rsidR="00BC56F1" w:rsidRDefault="00BC56F1" w:rsidP="00BC56F1">
      <w:pPr>
        <w:jc w:val="both"/>
        <w:rPr>
          <w:sz w:val="22"/>
          <w:szCs w:val="22"/>
        </w:rPr>
      </w:pPr>
    </w:p>
    <w:p w14:paraId="0C307B26" w14:textId="3EA31C8D" w:rsidR="00BC56F1" w:rsidRPr="00BC56F1" w:rsidRDefault="00EC7E93" w:rsidP="00EC7E93">
      <w:pPr>
        <w:jc w:val="both"/>
        <w:rPr>
          <w:sz w:val="22"/>
          <w:szCs w:val="22"/>
        </w:rPr>
      </w:pPr>
      <w:r>
        <w:rPr>
          <w:sz w:val="22"/>
          <w:szCs w:val="22"/>
        </w:rPr>
        <w:t xml:space="preserve">La figura 1 riporta le indagini </w:t>
      </w:r>
      <w:r w:rsidRPr="00EC7E93">
        <w:rPr>
          <w:sz w:val="22"/>
          <w:szCs w:val="22"/>
        </w:rPr>
        <w:t xml:space="preserve">effettuate </w:t>
      </w:r>
      <w:r>
        <w:rPr>
          <w:sz w:val="22"/>
          <w:szCs w:val="22"/>
        </w:rPr>
        <w:t xml:space="preserve">nel periodo di programmazione 2014-2022 </w:t>
      </w:r>
      <w:r w:rsidRPr="00EC7E93">
        <w:rPr>
          <w:sz w:val="22"/>
          <w:szCs w:val="22"/>
        </w:rPr>
        <w:t>dall’Unità H.4 della DG Agricoltura e Sviluppo Rurale, trasmesse dal MASAF e</w:t>
      </w:r>
      <w:r>
        <w:rPr>
          <w:sz w:val="22"/>
          <w:szCs w:val="22"/>
        </w:rPr>
        <w:t xml:space="preserve"> </w:t>
      </w:r>
      <w:r w:rsidRPr="00EC7E93">
        <w:rPr>
          <w:sz w:val="22"/>
          <w:szCs w:val="22"/>
        </w:rPr>
        <w:t>AGEA Coordinamento alla Rete Rurale Nazionale ed inserite nell’Archivio dei controlli al 31 dicembre 2022.</w:t>
      </w:r>
    </w:p>
    <w:p w14:paraId="7B9A266D" w14:textId="77777777" w:rsidR="00BC56F1" w:rsidRDefault="00BC56F1" w:rsidP="00E479A8">
      <w:pPr>
        <w:jc w:val="both"/>
        <w:rPr>
          <w:sz w:val="22"/>
          <w:szCs w:val="22"/>
        </w:rPr>
      </w:pPr>
    </w:p>
    <w:p w14:paraId="0070C4B7" w14:textId="2D3A4A52" w:rsidR="00BC56F1" w:rsidRDefault="00EC7E93" w:rsidP="00E479A8">
      <w:pPr>
        <w:jc w:val="both"/>
        <w:rPr>
          <w:sz w:val="22"/>
          <w:szCs w:val="22"/>
        </w:rPr>
      </w:pPr>
      <w:r>
        <w:rPr>
          <w:noProof/>
        </w:rPr>
        <w:drawing>
          <wp:inline distT="0" distB="0" distL="0" distR="0" wp14:anchorId="3041F8AB" wp14:editId="2E1F3D55">
            <wp:extent cx="6120130" cy="3749040"/>
            <wp:effectExtent l="0" t="0" r="0" b="3810"/>
            <wp:docPr id="194109694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096946" name=""/>
                    <pic:cNvPicPr/>
                  </pic:nvPicPr>
                  <pic:blipFill>
                    <a:blip r:embed="rId13"/>
                    <a:stretch>
                      <a:fillRect/>
                    </a:stretch>
                  </pic:blipFill>
                  <pic:spPr>
                    <a:xfrm>
                      <a:off x="0" y="0"/>
                      <a:ext cx="6120130" cy="3749040"/>
                    </a:xfrm>
                    <a:prstGeom prst="rect">
                      <a:avLst/>
                    </a:prstGeom>
                  </pic:spPr>
                </pic:pic>
              </a:graphicData>
            </a:graphic>
          </wp:inline>
        </w:drawing>
      </w:r>
    </w:p>
    <w:p w14:paraId="259B7C8D" w14:textId="77777777" w:rsidR="009E2F5A" w:rsidRDefault="009E2F5A" w:rsidP="009E2F5A">
      <w:pPr>
        <w:jc w:val="both"/>
        <w:rPr>
          <w:b/>
          <w:bCs/>
          <w:sz w:val="18"/>
          <w:szCs w:val="18"/>
        </w:rPr>
      </w:pPr>
    </w:p>
    <w:p w14:paraId="0F62C0A0" w14:textId="3BA1368B" w:rsidR="009E2F5A" w:rsidRPr="00EC7E93" w:rsidRDefault="009E2F5A" w:rsidP="009E2F5A">
      <w:pPr>
        <w:jc w:val="both"/>
        <w:rPr>
          <w:sz w:val="18"/>
          <w:szCs w:val="18"/>
        </w:rPr>
      </w:pPr>
      <w:r w:rsidRPr="00EC7E93">
        <w:rPr>
          <w:b/>
          <w:bCs/>
          <w:sz w:val="18"/>
          <w:szCs w:val="18"/>
        </w:rPr>
        <w:t>Fig. 1</w:t>
      </w:r>
      <w:r w:rsidRPr="00EC7E93">
        <w:rPr>
          <w:sz w:val="18"/>
          <w:szCs w:val="18"/>
        </w:rPr>
        <w:t xml:space="preserve"> - </w:t>
      </w:r>
      <w:r w:rsidRPr="00EC7E93">
        <w:rPr>
          <w:b/>
          <w:bCs/>
          <w:sz w:val="18"/>
          <w:szCs w:val="18"/>
        </w:rPr>
        <w:t>Indagini della Commissione europea sui PSR 2014-202</w:t>
      </w:r>
      <w:r>
        <w:rPr>
          <w:b/>
          <w:bCs/>
          <w:sz w:val="18"/>
          <w:szCs w:val="18"/>
        </w:rPr>
        <w:t>2</w:t>
      </w:r>
      <w:r w:rsidRPr="00EC7E93">
        <w:rPr>
          <w:b/>
          <w:bCs/>
          <w:sz w:val="18"/>
          <w:szCs w:val="18"/>
        </w:rPr>
        <w:t xml:space="preserve"> (2016-2022)</w:t>
      </w:r>
      <w:r>
        <w:rPr>
          <w:b/>
          <w:bCs/>
          <w:sz w:val="18"/>
          <w:szCs w:val="18"/>
        </w:rPr>
        <w:t xml:space="preserve"> (Fonte: Rete Rurale, 2022)</w:t>
      </w:r>
      <w:r>
        <w:rPr>
          <w:rStyle w:val="Rimandonotaapidipagina"/>
          <w:b/>
          <w:bCs/>
          <w:sz w:val="18"/>
          <w:szCs w:val="18"/>
        </w:rPr>
        <w:footnoteReference w:id="2"/>
      </w:r>
    </w:p>
    <w:p w14:paraId="3FE7EED8" w14:textId="77777777" w:rsidR="00BC56F1" w:rsidRDefault="00BC56F1" w:rsidP="00E479A8">
      <w:pPr>
        <w:jc w:val="both"/>
        <w:rPr>
          <w:sz w:val="22"/>
          <w:szCs w:val="22"/>
        </w:rPr>
      </w:pPr>
    </w:p>
    <w:p w14:paraId="1C0A0709" w14:textId="2B388775" w:rsidR="000B4EBA" w:rsidRDefault="00EC7E93" w:rsidP="00E479A8">
      <w:pPr>
        <w:jc w:val="both"/>
        <w:rPr>
          <w:sz w:val="22"/>
          <w:szCs w:val="22"/>
        </w:rPr>
      </w:pPr>
      <w:r>
        <w:rPr>
          <w:sz w:val="22"/>
          <w:szCs w:val="22"/>
        </w:rPr>
        <w:t xml:space="preserve">Nel mese di giugno 2023, anche il Dipartimento Agricoltura della Regione Abruzzo è stato </w:t>
      </w:r>
      <w:r w:rsidR="00895D3E">
        <w:rPr>
          <w:sz w:val="22"/>
          <w:szCs w:val="22"/>
        </w:rPr>
        <w:t xml:space="preserve">selezionato dalla </w:t>
      </w:r>
      <w:r>
        <w:rPr>
          <w:sz w:val="22"/>
          <w:szCs w:val="22"/>
        </w:rPr>
        <w:t xml:space="preserve">Commissione europea </w:t>
      </w:r>
      <w:r w:rsidR="00895D3E">
        <w:rPr>
          <w:sz w:val="22"/>
          <w:szCs w:val="22"/>
        </w:rPr>
        <w:t xml:space="preserve">per un audit </w:t>
      </w:r>
      <w:r>
        <w:rPr>
          <w:sz w:val="22"/>
          <w:szCs w:val="22"/>
        </w:rPr>
        <w:t>relativamente ai progetti finanziati con la Misura 7, “</w:t>
      </w:r>
      <w:r w:rsidRPr="00EC7E93">
        <w:rPr>
          <w:sz w:val="22"/>
          <w:szCs w:val="22"/>
        </w:rPr>
        <w:t>Servizi di base e rinnovamento dei villaggi nelle zone rurali</w:t>
      </w:r>
      <w:r>
        <w:rPr>
          <w:sz w:val="22"/>
          <w:szCs w:val="22"/>
        </w:rPr>
        <w:t>”, del PSR 2014-2022, nello specifico la sottomisura 7.4 “</w:t>
      </w:r>
      <w:r w:rsidRPr="00EC7E93">
        <w:rPr>
          <w:sz w:val="22"/>
          <w:szCs w:val="22"/>
        </w:rPr>
        <w:t>Supporto agli investimenti nella creazione, miglioramento o espansione di servizi di base locali per la popolazione rurale</w:t>
      </w:r>
      <w:r>
        <w:rPr>
          <w:sz w:val="22"/>
          <w:szCs w:val="22"/>
        </w:rPr>
        <w:t xml:space="preserve">” e 7.6 </w:t>
      </w:r>
      <w:r w:rsidR="001E0F2C">
        <w:rPr>
          <w:sz w:val="22"/>
          <w:szCs w:val="22"/>
        </w:rPr>
        <w:t>“</w:t>
      </w:r>
      <w:r w:rsidRPr="00EC7E93">
        <w:rPr>
          <w:sz w:val="22"/>
          <w:szCs w:val="22"/>
        </w:rPr>
        <w:t>Attività di studio dello stato di conservazione della biodiversità</w:t>
      </w:r>
      <w:r w:rsidR="001E0F2C">
        <w:rPr>
          <w:sz w:val="22"/>
          <w:szCs w:val="22"/>
        </w:rPr>
        <w:t xml:space="preserve">”. </w:t>
      </w:r>
    </w:p>
    <w:p w14:paraId="2BA9EBB4" w14:textId="14F3C020" w:rsidR="00BC56F1" w:rsidRDefault="00BE2F81" w:rsidP="00E479A8">
      <w:pPr>
        <w:jc w:val="both"/>
        <w:rPr>
          <w:sz w:val="22"/>
          <w:szCs w:val="22"/>
        </w:rPr>
      </w:pPr>
      <w:r>
        <w:rPr>
          <w:sz w:val="22"/>
          <w:szCs w:val="22"/>
        </w:rPr>
        <w:t xml:space="preserve">Lo status del controllo è stato chiuso a giugno 2024 con esito positivo per entrambe le misure del PSR 2014-2022 oggetto dell’audit. </w:t>
      </w:r>
      <w:r w:rsidR="001E0F2C">
        <w:rPr>
          <w:sz w:val="22"/>
          <w:szCs w:val="22"/>
        </w:rPr>
        <w:t xml:space="preserve"> </w:t>
      </w:r>
    </w:p>
    <w:p w14:paraId="01E6A659" w14:textId="77777777" w:rsidR="000B4EBA" w:rsidRDefault="000B4EBA" w:rsidP="00E479A8">
      <w:pPr>
        <w:jc w:val="both"/>
        <w:rPr>
          <w:sz w:val="22"/>
          <w:szCs w:val="22"/>
        </w:rPr>
      </w:pPr>
    </w:p>
    <w:p w14:paraId="35D2D40A" w14:textId="1B13FF7A" w:rsidR="00B33F26" w:rsidRDefault="00B33F26" w:rsidP="00E479A8">
      <w:pPr>
        <w:jc w:val="both"/>
        <w:rPr>
          <w:sz w:val="22"/>
          <w:szCs w:val="22"/>
        </w:rPr>
      </w:pPr>
      <w:r>
        <w:rPr>
          <w:sz w:val="22"/>
          <w:szCs w:val="22"/>
        </w:rPr>
        <w:t xml:space="preserve">Nella figura 2 sono indicate le indagini effettuate dalla Corte dei </w:t>
      </w:r>
      <w:r w:rsidR="007D36B1">
        <w:rPr>
          <w:sz w:val="22"/>
          <w:szCs w:val="22"/>
        </w:rPr>
        <w:t>C</w:t>
      </w:r>
      <w:r>
        <w:rPr>
          <w:sz w:val="22"/>
          <w:szCs w:val="22"/>
        </w:rPr>
        <w:t>onti presenti nell’Archivio dei controlli al 31 dicembre 2022.</w:t>
      </w:r>
      <w:r w:rsidR="005D2AC4">
        <w:rPr>
          <w:sz w:val="22"/>
          <w:szCs w:val="22"/>
        </w:rPr>
        <w:t xml:space="preserve"> </w:t>
      </w:r>
      <w:r w:rsidR="005D2AC4" w:rsidRPr="005D2AC4">
        <w:rPr>
          <w:sz w:val="22"/>
          <w:szCs w:val="22"/>
        </w:rPr>
        <w:t xml:space="preserve">Le indagini DAS (acronimo dal francese </w:t>
      </w:r>
      <w:proofErr w:type="spellStart"/>
      <w:r w:rsidR="005D2AC4" w:rsidRPr="005D2AC4">
        <w:rPr>
          <w:i/>
          <w:iCs/>
          <w:sz w:val="22"/>
          <w:szCs w:val="22"/>
        </w:rPr>
        <w:t>déclaration</w:t>
      </w:r>
      <w:proofErr w:type="spellEnd"/>
      <w:r w:rsidR="005D2AC4" w:rsidRPr="005D2AC4">
        <w:rPr>
          <w:i/>
          <w:iCs/>
          <w:sz w:val="22"/>
          <w:szCs w:val="22"/>
        </w:rPr>
        <w:t xml:space="preserve"> </w:t>
      </w:r>
      <w:proofErr w:type="spellStart"/>
      <w:r w:rsidR="005D2AC4" w:rsidRPr="005D2AC4">
        <w:rPr>
          <w:i/>
          <w:iCs/>
          <w:sz w:val="22"/>
          <w:szCs w:val="22"/>
        </w:rPr>
        <w:t>d’assurance</w:t>
      </w:r>
      <w:proofErr w:type="spellEnd"/>
      <w:r w:rsidR="005D2AC4" w:rsidRPr="005D2AC4">
        <w:rPr>
          <w:sz w:val="22"/>
          <w:szCs w:val="22"/>
        </w:rPr>
        <w:t>) sono finalizzate al rilascio, da parte della Corte dei conti europea, della dichiarazione di affidabilità, ovvero una valutazione sul modo in cui sono stati utilizzati i fondi comunitari. Tramite il controllo di gestione, la Corte invece valuta se, per le spese UE, siano stati applicati i principi di sana gestione finanziaria</w:t>
      </w:r>
    </w:p>
    <w:p w14:paraId="3BA0C1AE" w14:textId="77777777" w:rsidR="00B33F26" w:rsidRDefault="00B33F26" w:rsidP="00E479A8">
      <w:pPr>
        <w:jc w:val="both"/>
        <w:rPr>
          <w:sz w:val="22"/>
          <w:szCs w:val="22"/>
        </w:rPr>
      </w:pPr>
    </w:p>
    <w:p w14:paraId="721E9DC7" w14:textId="77777777" w:rsidR="00D84191" w:rsidRDefault="00D84191" w:rsidP="00E479A8">
      <w:pPr>
        <w:jc w:val="both"/>
        <w:rPr>
          <w:sz w:val="22"/>
          <w:szCs w:val="22"/>
        </w:rPr>
      </w:pPr>
    </w:p>
    <w:p w14:paraId="3ED03DFD" w14:textId="2D6C3034" w:rsidR="00B33F26" w:rsidRDefault="00B33F26" w:rsidP="00E479A8">
      <w:pPr>
        <w:jc w:val="both"/>
        <w:rPr>
          <w:sz w:val="22"/>
          <w:szCs w:val="22"/>
        </w:rPr>
      </w:pPr>
      <w:r>
        <w:rPr>
          <w:noProof/>
        </w:rPr>
        <w:lastRenderedPageBreak/>
        <w:drawing>
          <wp:inline distT="0" distB="0" distL="0" distR="0" wp14:anchorId="2A8211CF" wp14:editId="5AF200A6">
            <wp:extent cx="5286375" cy="4210050"/>
            <wp:effectExtent l="0" t="0" r="9525" b="0"/>
            <wp:docPr id="5107249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724971" name=""/>
                    <pic:cNvPicPr/>
                  </pic:nvPicPr>
                  <pic:blipFill>
                    <a:blip r:embed="rId14"/>
                    <a:stretch>
                      <a:fillRect/>
                    </a:stretch>
                  </pic:blipFill>
                  <pic:spPr>
                    <a:xfrm>
                      <a:off x="0" y="0"/>
                      <a:ext cx="5286375" cy="4210050"/>
                    </a:xfrm>
                    <a:prstGeom prst="rect">
                      <a:avLst/>
                    </a:prstGeom>
                  </pic:spPr>
                </pic:pic>
              </a:graphicData>
            </a:graphic>
          </wp:inline>
        </w:drawing>
      </w:r>
    </w:p>
    <w:p w14:paraId="70362209" w14:textId="77777777" w:rsidR="000B4EBA" w:rsidRDefault="000B4EBA" w:rsidP="00E479A8">
      <w:pPr>
        <w:jc w:val="both"/>
        <w:rPr>
          <w:sz w:val="22"/>
          <w:szCs w:val="22"/>
        </w:rPr>
      </w:pPr>
    </w:p>
    <w:p w14:paraId="4FCDE40A" w14:textId="5BB6DAE6" w:rsidR="003432F1" w:rsidRPr="00D84191" w:rsidRDefault="003432F1" w:rsidP="003432F1">
      <w:pPr>
        <w:jc w:val="both"/>
        <w:rPr>
          <w:b/>
          <w:bCs/>
          <w:sz w:val="18"/>
          <w:szCs w:val="18"/>
        </w:rPr>
      </w:pPr>
      <w:r w:rsidRPr="00D84191">
        <w:rPr>
          <w:b/>
          <w:bCs/>
          <w:sz w:val="18"/>
          <w:szCs w:val="18"/>
        </w:rPr>
        <w:t xml:space="preserve">Fig. </w:t>
      </w:r>
      <w:r w:rsidR="00895D3E">
        <w:rPr>
          <w:b/>
          <w:bCs/>
          <w:sz w:val="18"/>
          <w:szCs w:val="18"/>
        </w:rPr>
        <w:t>2</w:t>
      </w:r>
      <w:r w:rsidRPr="00D84191">
        <w:rPr>
          <w:b/>
          <w:bCs/>
          <w:sz w:val="18"/>
          <w:szCs w:val="18"/>
        </w:rPr>
        <w:t xml:space="preserve"> - Indagini della Corte dei conti europea sui PSR 2014-2022 (2016-2022)</w:t>
      </w:r>
      <w:r w:rsidR="002A31DA">
        <w:rPr>
          <w:b/>
          <w:bCs/>
          <w:sz w:val="18"/>
          <w:szCs w:val="18"/>
        </w:rPr>
        <w:t xml:space="preserve"> (Fonte: Rete Rurale, 2022)</w:t>
      </w:r>
      <w:r w:rsidR="002A31DA">
        <w:rPr>
          <w:rStyle w:val="Rimandonotaapidipagina"/>
          <w:b/>
          <w:bCs/>
          <w:sz w:val="18"/>
          <w:szCs w:val="18"/>
        </w:rPr>
        <w:footnoteReference w:id="3"/>
      </w:r>
    </w:p>
    <w:p w14:paraId="68EE38F7" w14:textId="77777777" w:rsidR="00D84191" w:rsidRDefault="00D84191" w:rsidP="00E479A8">
      <w:pPr>
        <w:jc w:val="both"/>
        <w:rPr>
          <w:sz w:val="22"/>
          <w:szCs w:val="22"/>
        </w:rPr>
      </w:pPr>
    </w:p>
    <w:p w14:paraId="7665742E" w14:textId="77777777" w:rsidR="007D36B1" w:rsidRDefault="007D36B1" w:rsidP="00E479A8">
      <w:pPr>
        <w:jc w:val="both"/>
        <w:rPr>
          <w:sz w:val="22"/>
          <w:szCs w:val="22"/>
        </w:rPr>
      </w:pPr>
    </w:p>
    <w:p w14:paraId="17F2B4B1" w14:textId="31671C5F" w:rsidR="000B4EBA" w:rsidRDefault="00B33F26" w:rsidP="00E479A8">
      <w:pPr>
        <w:pStyle w:val="Paragrafoelenco"/>
        <w:numPr>
          <w:ilvl w:val="1"/>
          <w:numId w:val="11"/>
        </w:numPr>
        <w:jc w:val="both"/>
        <w:rPr>
          <w:b/>
          <w:bCs/>
          <w:sz w:val="22"/>
          <w:szCs w:val="22"/>
        </w:rPr>
      </w:pPr>
      <w:r>
        <w:rPr>
          <w:b/>
          <w:bCs/>
          <w:sz w:val="22"/>
          <w:szCs w:val="22"/>
        </w:rPr>
        <w:t>IL TASSO DI ERRORE</w:t>
      </w:r>
    </w:p>
    <w:p w14:paraId="431BF34E" w14:textId="77777777" w:rsidR="00B33F26" w:rsidRPr="00B33F26" w:rsidRDefault="00B33F26" w:rsidP="00B33F26">
      <w:pPr>
        <w:pStyle w:val="Paragrafoelenco"/>
        <w:ind w:left="360"/>
        <w:jc w:val="both"/>
        <w:rPr>
          <w:b/>
          <w:bCs/>
          <w:sz w:val="22"/>
          <w:szCs w:val="22"/>
        </w:rPr>
      </w:pPr>
    </w:p>
    <w:p w14:paraId="0E9AFF4E" w14:textId="3FC2B516" w:rsidR="008D7DB2" w:rsidRPr="00457792" w:rsidRDefault="008D7DB2" w:rsidP="00E479A8">
      <w:pPr>
        <w:jc w:val="both"/>
        <w:rPr>
          <w:sz w:val="22"/>
          <w:szCs w:val="22"/>
        </w:rPr>
      </w:pPr>
      <w:r w:rsidRPr="00457792">
        <w:rPr>
          <w:sz w:val="22"/>
          <w:szCs w:val="22"/>
        </w:rPr>
        <w:t xml:space="preserve">Il quadro giuridico </w:t>
      </w:r>
      <w:r w:rsidR="00031A32">
        <w:rPr>
          <w:sz w:val="22"/>
          <w:szCs w:val="22"/>
        </w:rPr>
        <w:t>della</w:t>
      </w:r>
      <w:r w:rsidRPr="00457792">
        <w:rPr>
          <w:sz w:val="22"/>
          <w:szCs w:val="22"/>
        </w:rPr>
        <w:t xml:space="preserve"> PAC 2014-202</w:t>
      </w:r>
      <w:r w:rsidR="00B27D76">
        <w:rPr>
          <w:sz w:val="22"/>
          <w:szCs w:val="22"/>
        </w:rPr>
        <w:t>2</w:t>
      </w:r>
      <w:r w:rsidRPr="00457792">
        <w:rPr>
          <w:sz w:val="22"/>
          <w:szCs w:val="22"/>
        </w:rPr>
        <w:t xml:space="preserve"> contiene disposizioni secondo le quali gli Stati membri devono assicurare che tutte le misure per lo sviluppo rurale</w:t>
      </w:r>
      <w:r w:rsidR="0028726E">
        <w:rPr>
          <w:sz w:val="22"/>
          <w:szCs w:val="22"/>
        </w:rPr>
        <w:t>,</w:t>
      </w:r>
      <w:r w:rsidRPr="00457792">
        <w:rPr>
          <w:sz w:val="22"/>
          <w:szCs w:val="22"/>
        </w:rPr>
        <w:t xml:space="preserve"> che intendono attuare</w:t>
      </w:r>
      <w:r w:rsidR="0028726E">
        <w:rPr>
          <w:sz w:val="22"/>
          <w:szCs w:val="22"/>
        </w:rPr>
        <w:t>,</w:t>
      </w:r>
      <w:r w:rsidRPr="00457792">
        <w:rPr>
          <w:sz w:val="22"/>
          <w:szCs w:val="22"/>
        </w:rPr>
        <w:t xml:space="preserve"> siano verificabili e controllabili </w:t>
      </w:r>
      <w:r w:rsidR="00F055A7">
        <w:rPr>
          <w:sz w:val="22"/>
          <w:szCs w:val="22"/>
        </w:rPr>
        <w:t xml:space="preserve">e </w:t>
      </w:r>
      <w:r w:rsidRPr="00457792">
        <w:rPr>
          <w:sz w:val="22"/>
          <w:szCs w:val="22"/>
        </w:rPr>
        <w:t xml:space="preserve">inoltre, </w:t>
      </w:r>
      <w:r w:rsidR="00135628">
        <w:rPr>
          <w:sz w:val="22"/>
          <w:szCs w:val="22"/>
        </w:rPr>
        <w:t xml:space="preserve">che </w:t>
      </w:r>
      <w:r w:rsidRPr="00457792">
        <w:rPr>
          <w:sz w:val="22"/>
          <w:szCs w:val="22"/>
        </w:rPr>
        <w:t>la valutazione ex ante relativa alla verificabilità e alla controllabilità di tutte le misure incluse nei PSR 2014-202</w:t>
      </w:r>
      <w:r w:rsidR="001B4315">
        <w:rPr>
          <w:sz w:val="22"/>
          <w:szCs w:val="22"/>
        </w:rPr>
        <w:t>2</w:t>
      </w:r>
      <w:r w:rsidRPr="00457792">
        <w:rPr>
          <w:sz w:val="22"/>
          <w:szCs w:val="22"/>
        </w:rPr>
        <w:t xml:space="preserve"> affront</w:t>
      </w:r>
      <w:r w:rsidR="00135628">
        <w:rPr>
          <w:sz w:val="22"/>
          <w:szCs w:val="22"/>
        </w:rPr>
        <w:t>i</w:t>
      </w:r>
      <w:r w:rsidRPr="00457792">
        <w:rPr>
          <w:sz w:val="22"/>
          <w:szCs w:val="22"/>
        </w:rPr>
        <w:t xml:space="preserve"> il rischio relativo al </w:t>
      </w:r>
      <w:r w:rsidRPr="00457792">
        <w:rPr>
          <w:sz w:val="22"/>
          <w:szCs w:val="22"/>
          <w:u w:val="single"/>
        </w:rPr>
        <w:t>tasso di errore</w:t>
      </w:r>
      <w:r w:rsidRPr="00457792">
        <w:rPr>
          <w:sz w:val="22"/>
          <w:szCs w:val="22"/>
        </w:rPr>
        <w:t xml:space="preserve"> secondo una prospettiva preventiva.</w:t>
      </w:r>
    </w:p>
    <w:p w14:paraId="08A186E6" w14:textId="5E9899F6" w:rsidR="005A0845" w:rsidRPr="00031A32" w:rsidRDefault="00276CCF" w:rsidP="00E479A8">
      <w:pPr>
        <w:jc w:val="both"/>
        <w:rPr>
          <w:b/>
          <w:bCs/>
          <w:sz w:val="22"/>
          <w:szCs w:val="22"/>
        </w:rPr>
      </w:pPr>
      <w:r w:rsidRPr="00031A32">
        <w:rPr>
          <w:b/>
          <w:bCs/>
          <w:sz w:val="22"/>
          <w:szCs w:val="22"/>
        </w:rPr>
        <w:t>«</w:t>
      </w:r>
      <w:r w:rsidR="00444292" w:rsidRPr="00031A32">
        <w:rPr>
          <w:b/>
          <w:bCs/>
          <w:sz w:val="22"/>
          <w:szCs w:val="22"/>
        </w:rPr>
        <w:t xml:space="preserve">Il tasso di errore </w:t>
      </w:r>
      <w:r w:rsidR="00031A32">
        <w:rPr>
          <w:b/>
          <w:bCs/>
          <w:sz w:val="22"/>
          <w:szCs w:val="22"/>
        </w:rPr>
        <w:t>costituisce</w:t>
      </w:r>
      <w:r w:rsidR="00444292" w:rsidRPr="00031A32">
        <w:rPr>
          <w:b/>
          <w:bCs/>
          <w:sz w:val="22"/>
          <w:szCs w:val="22"/>
        </w:rPr>
        <w:t xml:space="preserve"> un indicatore tecnico rappresentativo della </w:t>
      </w:r>
      <w:r w:rsidR="00444292" w:rsidRPr="00031A32">
        <w:rPr>
          <w:b/>
          <w:bCs/>
          <w:sz w:val="22"/>
          <w:szCs w:val="22"/>
          <w:u w:val="single"/>
        </w:rPr>
        <w:t>qualità</w:t>
      </w:r>
      <w:r w:rsidR="00444292" w:rsidRPr="00031A32">
        <w:rPr>
          <w:b/>
          <w:bCs/>
          <w:sz w:val="22"/>
          <w:szCs w:val="22"/>
        </w:rPr>
        <w:t xml:space="preserve"> della gestione dello </w:t>
      </w:r>
      <w:r w:rsidR="00031A32">
        <w:rPr>
          <w:b/>
          <w:bCs/>
          <w:sz w:val="22"/>
          <w:szCs w:val="22"/>
        </w:rPr>
        <w:t>S</w:t>
      </w:r>
      <w:r w:rsidR="00444292" w:rsidRPr="00031A32">
        <w:rPr>
          <w:b/>
          <w:bCs/>
          <w:sz w:val="22"/>
          <w:szCs w:val="22"/>
        </w:rPr>
        <w:t xml:space="preserve">viluppo </w:t>
      </w:r>
      <w:r w:rsidR="00031A32">
        <w:rPr>
          <w:b/>
          <w:bCs/>
          <w:sz w:val="22"/>
          <w:szCs w:val="22"/>
        </w:rPr>
        <w:t>R</w:t>
      </w:r>
      <w:r w:rsidR="00444292" w:rsidRPr="00031A32">
        <w:rPr>
          <w:b/>
          <w:bCs/>
          <w:sz w:val="22"/>
          <w:szCs w:val="22"/>
        </w:rPr>
        <w:t xml:space="preserve">urale. </w:t>
      </w:r>
      <w:r w:rsidRPr="00031A32">
        <w:rPr>
          <w:b/>
          <w:bCs/>
          <w:sz w:val="22"/>
          <w:szCs w:val="22"/>
        </w:rPr>
        <w:t>Per tasso di errore si intende un valore utilizzato per riflettere la percentuale di pagamenti irregolarmente percepiti, rispetto al totale delle spese a carico del bilancio dell’UE».</w:t>
      </w:r>
      <w:r w:rsidR="005A0845" w:rsidRPr="00031A32">
        <w:rPr>
          <w:b/>
          <w:bCs/>
          <w:sz w:val="22"/>
          <w:szCs w:val="22"/>
        </w:rPr>
        <w:t xml:space="preserve"> </w:t>
      </w:r>
    </w:p>
    <w:p w14:paraId="5D7310C7" w14:textId="3C122AB3" w:rsidR="00C228CF" w:rsidRDefault="008A2328" w:rsidP="00C228CF">
      <w:pPr>
        <w:jc w:val="both"/>
        <w:rPr>
          <w:sz w:val="22"/>
          <w:szCs w:val="22"/>
        </w:rPr>
      </w:pPr>
      <w:r w:rsidRPr="00457792">
        <w:rPr>
          <w:sz w:val="22"/>
          <w:szCs w:val="22"/>
        </w:rPr>
        <w:t xml:space="preserve">La normativa </w:t>
      </w:r>
      <w:r w:rsidR="00C228CF">
        <w:rPr>
          <w:sz w:val="22"/>
          <w:szCs w:val="22"/>
        </w:rPr>
        <w:t>unionale</w:t>
      </w:r>
      <w:r w:rsidRPr="00457792">
        <w:rPr>
          <w:sz w:val="22"/>
          <w:szCs w:val="22"/>
        </w:rPr>
        <w:t xml:space="preserve"> prevede che</w:t>
      </w:r>
      <w:r w:rsidR="00C228CF">
        <w:rPr>
          <w:sz w:val="22"/>
          <w:szCs w:val="22"/>
        </w:rPr>
        <w:t>:</w:t>
      </w:r>
    </w:p>
    <w:p w14:paraId="2DF22BD9" w14:textId="5467355A" w:rsidR="00C228CF" w:rsidRDefault="008A2328" w:rsidP="00C228CF">
      <w:pPr>
        <w:pStyle w:val="Paragrafoelenco"/>
        <w:numPr>
          <w:ilvl w:val="0"/>
          <w:numId w:val="10"/>
        </w:numPr>
        <w:jc w:val="both"/>
        <w:rPr>
          <w:sz w:val="22"/>
          <w:szCs w:val="22"/>
        </w:rPr>
      </w:pPr>
      <w:r w:rsidRPr="00C228CF">
        <w:rPr>
          <w:sz w:val="22"/>
          <w:szCs w:val="22"/>
        </w:rPr>
        <w:t>con un</w:t>
      </w:r>
      <w:r w:rsidR="005A0845" w:rsidRPr="00C228CF">
        <w:rPr>
          <w:sz w:val="22"/>
          <w:szCs w:val="22"/>
        </w:rPr>
        <w:t xml:space="preserve"> tasso di errore </w:t>
      </w:r>
      <w:r w:rsidR="005A0845" w:rsidRPr="00C228CF">
        <w:rPr>
          <w:b/>
          <w:bCs/>
          <w:sz w:val="22"/>
          <w:szCs w:val="22"/>
        </w:rPr>
        <w:t>inferiore al 2%</w:t>
      </w:r>
      <w:r w:rsidR="005A0845" w:rsidRPr="00C228CF">
        <w:rPr>
          <w:sz w:val="22"/>
          <w:szCs w:val="22"/>
        </w:rPr>
        <w:t xml:space="preserve"> </w:t>
      </w:r>
      <w:r w:rsidR="00C228CF" w:rsidRPr="00C228CF">
        <w:rPr>
          <w:sz w:val="22"/>
          <w:szCs w:val="22"/>
        </w:rPr>
        <w:t xml:space="preserve">(cd. «soglia di materialità») </w:t>
      </w:r>
      <w:r w:rsidR="005A0845" w:rsidRPr="00C228CF">
        <w:rPr>
          <w:sz w:val="22"/>
          <w:szCs w:val="22"/>
        </w:rPr>
        <w:t xml:space="preserve">non </w:t>
      </w:r>
      <w:r w:rsidRPr="00C228CF">
        <w:rPr>
          <w:sz w:val="22"/>
          <w:szCs w:val="22"/>
        </w:rPr>
        <w:t>s</w:t>
      </w:r>
      <w:r w:rsidR="00C228CF" w:rsidRPr="00C228CF">
        <w:rPr>
          <w:sz w:val="22"/>
          <w:szCs w:val="22"/>
        </w:rPr>
        <w:t>ono richieste azioni correttive da parte della Commissione Europea;</w:t>
      </w:r>
    </w:p>
    <w:p w14:paraId="5E5FFA90" w14:textId="55CBC2B3" w:rsidR="00C228CF" w:rsidRDefault="00C228CF" w:rsidP="00C228CF">
      <w:pPr>
        <w:pStyle w:val="Paragrafoelenco"/>
        <w:numPr>
          <w:ilvl w:val="0"/>
          <w:numId w:val="10"/>
        </w:numPr>
        <w:jc w:val="both"/>
        <w:rPr>
          <w:sz w:val="22"/>
          <w:szCs w:val="22"/>
        </w:rPr>
      </w:pPr>
      <w:r w:rsidRPr="00C228CF">
        <w:rPr>
          <w:sz w:val="22"/>
          <w:szCs w:val="22"/>
        </w:rPr>
        <w:t xml:space="preserve">nel caso in cui </w:t>
      </w:r>
      <w:r w:rsidR="001709C1" w:rsidRPr="00C228CF">
        <w:rPr>
          <w:sz w:val="22"/>
          <w:szCs w:val="22"/>
        </w:rPr>
        <w:t>il tasso di errore fosse</w:t>
      </w:r>
      <w:r w:rsidR="005A0845" w:rsidRPr="00C228CF">
        <w:rPr>
          <w:sz w:val="22"/>
          <w:szCs w:val="22"/>
        </w:rPr>
        <w:t xml:space="preserve"> </w:t>
      </w:r>
      <w:r w:rsidR="005A0845" w:rsidRPr="00C228CF">
        <w:rPr>
          <w:b/>
          <w:bCs/>
          <w:sz w:val="22"/>
          <w:szCs w:val="22"/>
        </w:rPr>
        <w:t>superiore al 2% ma inferiore al 5%</w:t>
      </w:r>
      <w:r w:rsidR="005A0845" w:rsidRPr="00C228CF">
        <w:rPr>
          <w:sz w:val="22"/>
          <w:szCs w:val="22"/>
        </w:rPr>
        <w:t xml:space="preserve"> </w:t>
      </w:r>
      <w:r w:rsidR="001709C1" w:rsidRPr="00C228CF">
        <w:rPr>
          <w:sz w:val="22"/>
          <w:szCs w:val="22"/>
        </w:rPr>
        <w:t>verrebbero</w:t>
      </w:r>
      <w:r w:rsidR="008A2328" w:rsidRPr="00C228CF">
        <w:rPr>
          <w:sz w:val="22"/>
          <w:szCs w:val="22"/>
        </w:rPr>
        <w:t xml:space="preserve"> </w:t>
      </w:r>
      <w:r w:rsidR="005A0845" w:rsidRPr="00C228CF">
        <w:rPr>
          <w:sz w:val="22"/>
          <w:szCs w:val="22"/>
        </w:rPr>
        <w:t>presi in considerazione eventuali fattori di mitigazione, in base ai quali viene stabilito se dare seguito ad azioni correttive</w:t>
      </w:r>
      <w:r w:rsidRPr="00C228CF">
        <w:rPr>
          <w:sz w:val="22"/>
          <w:szCs w:val="22"/>
        </w:rPr>
        <w:t>;</w:t>
      </w:r>
      <w:r w:rsidR="005A0845" w:rsidRPr="00C228CF">
        <w:rPr>
          <w:sz w:val="22"/>
          <w:szCs w:val="22"/>
        </w:rPr>
        <w:t xml:space="preserve"> </w:t>
      </w:r>
    </w:p>
    <w:p w14:paraId="0564344D" w14:textId="56DC9469" w:rsidR="00C228CF" w:rsidRDefault="00C228CF" w:rsidP="00AC0D13">
      <w:pPr>
        <w:pStyle w:val="Paragrafoelenco"/>
        <w:numPr>
          <w:ilvl w:val="0"/>
          <w:numId w:val="10"/>
        </w:numPr>
        <w:jc w:val="both"/>
        <w:rPr>
          <w:sz w:val="22"/>
          <w:szCs w:val="22"/>
        </w:rPr>
      </w:pPr>
      <w:r w:rsidRPr="00C228CF">
        <w:rPr>
          <w:sz w:val="22"/>
          <w:szCs w:val="22"/>
        </w:rPr>
        <w:t>s</w:t>
      </w:r>
      <w:r w:rsidR="005A0845" w:rsidRPr="00C228CF">
        <w:rPr>
          <w:sz w:val="22"/>
          <w:szCs w:val="22"/>
        </w:rPr>
        <w:t xml:space="preserve">e il tasso di errore è </w:t>
      </w:r>
      <w:r w:rsidR="005A0845" w:rsidRPr="00C228CF">
        <w:rPr>
          <w:b/>
          <w:bCs/>
          <w:sz w:val="22"/>
          <w:szCs w:val="22"/>
        </w:rPr>
        <w:t>superiore al 5%</w:t>
      </w:r>
      <w:r w:rsidR="005A0845" w:rsidRPr="00C228CF">
        <w:rPr>
          <w:sz w:val="22"/>
          <w:szCs w:val="22"/>
        </w:rPr>
        <w:t xml:space="preserve"> </w:t>
      </w:r>
      <w:r w:rsidRPr="00C228CF">
        <w:rPr>
          <w:sz w:val="22"/>
          <w:szCs w:val="22"/>
        </w:rPr>
        <w:t>la Commissione Europea</w:t>
      </w:r>
      <w:r w:rsidR="005A0845" w:rsidRPr="00C228CF">
        <w:rPr>
          <w:sz w:val="22"/>
          <w:szCs w:val="22"/>
        </w:rPr>
        <w:t xml:space="preserve"> emette la </w:t>
      </w:r>
      <w:r w:rsidR="005A0845" w:rsidRPr="00C228CF">
        <w:rPr>
          <w:b/>
          <w:bCs/>
          <w:sz w:val="22"/>
          <w:szCs w:val="22"/>
        </w:rPr>
        <w:t>“riserva”</w:t>
      </w:r>
      <w:r w:rsidR="001709C1" w:rsidRPr="00C228CF">
        <w:rPr>
          <w:sz w:val="22"/>
          <w:szCs w:val="22"/>
        </w:rPr>
        <w:t xml:space="preserve"> sulla spesa e </w:t>
      </w:r>
      <w:r w:rsidR="005A0845" w:rsidRPr="00C228CF">
        <w:rPr>
          <w:sz w:val="22"/>
          <w:szCs w:val="22"/>
        </w:rPr>
        <w:t xml:space="preserve">chiede allo Stato membro e all’Organismo/i pagatore/i interessato di attuare un </w:t>
      </w:r>
      <w:r w:rsidR="005A0845" w:rsidRPr="00C228CF">
        <w:rPr>
          <w:b/>
          <w:bCs/>
          <w:sz w:val="22"/>
          <w:szCs w:val="22"/>
        </w:rPr>
        <w:t>Piano di Azione Nazionale</w:t>
      </w:r>
      <w:r>
        <w:rPr>
          <w:b/>
          <w:bCs/>
          <w:sz w:val="22"/>
          <w:szCs w:val="22"/>
        </w:rPr>
        <w:t xml:space="preserve"> </w:t>
      </w:r>
      <w:r w:rsidR="00AC0D13" w:rsidRPr="00AC0D13">
        <w:rPr>
          <w:b/>
          <w:bCs/>
          <w:sz w:val="22"/>
          <w:szCs w:val="22"/>
        </w:rPr>
        <w:t xml:space="preserve">per la riduzione del tasso di errore </w:t>
      </w:r>
      <w:r>
        <w:rPr>
          <w:b/>
          <w:bCs/>
          <w:sz w:val="22"/>
          <w:szCs w:val="22"/>
        </w:rPr>
        <w:t>(P.A.N.T.E</w:t>
      </w:r>
      <w:r w:rsidR="005A0845" w:rsidRPr="00C228CF">
        <w:rPr>
          <w:sz w:val="22"/>
          <w:szCs w:val="22"/>
        </w:rPr>
        <w:t>.</w:t>
      </w:r>
      <w:r>
        <w:rPr>
          <w:sz w:val="22"/>
          <w:szCs w:val="22"/>
        </w:rPr>
        <w:t>);</w:t>
      </w:r>
    </w:p>
    <w:p w14:paraId="5D862B77" w14:textId="4B58FDCB" w:rsidR="00C228CF" w:rsidRDefault="00C228CF" w:rsidP="00E479A8">
      <w:pPr>
        <w:pStyle w:val="Paragrafoelenco"/>
        <w:numPr>
          <w:ilvl w:val="0"/>
          <w:numId w:val="10"/>
        </w:numPr>
        <w:jc w:val="both"/>
        <w:rPr>
          <w:sz w:val="22"/>
          <w:szCs w:val="22"/>
        </w:rPr>
      </w:pPr>
      <w:r>
        <w:rPr>
          <w:sz w:val="22"/>
          <w:szCs w:val="22"/>
        </w:rPr>
        <w:t>s</w:t>
      </w:r>
      <w:r w:rsidR="00D8765B" w:rsidRPr="00C228CF">
        <w:rPr>
          <w:sz w:val="22"/>
          <w:szCs w:val="22"/>
        </w:rPr>
        <w:t xml:space="preserve">e per due anni di seguito i risultati del tasso </w:t>
      </w:r>
      <w:r w:rsidR="001709C1" w:rsidRPr="00C228CF">
        <w:rPr>
          <w:sz w:val="22"/>
          <w:szCs w:val="22"/>
        </w:rPr>
        <w:t xml:space="preserve">di errore sono superiori al 5% </w:t>
      </w:r>
      <w:r w:rsidR="00D8765B" w:rsidRPr="00C228CF">
        <w:rPr>
          <w:sz w:val="22"/>
          <w:szCs w:val="22"/>
        </w:rPr>
        <w:t>ed il Piano d’Azione non è soddisfacente, la Commissione procede alla riduzione/sospensione dei pagamenti ai sensi dell’art. 41, par. 2, del reg. UE n. 1306/2013.</w:t>
      </w:r>
      <w:r w:rsidR="00954641" w:rsidRPr="00C228CF">
        <w:rPr>
          <w:sz w:val="22"/>
          <w:szCs w:val="22"/>
        </w:rPr>
        <w:t xml:space="preserve"> </w:t>
      </w:r>
    </w:p>
    <w:p w14:paraId="76B25FC6" w14:textId="22AB8ADD" w:rsidR="00DC3EEA" w:rsidRPr="00BB5B2C" w:rsidRDefault="00DC3EEA" w:rsidP="00E479A8">
      <w:pPr>
        <w:jc w:val="both"/>
        <w:rPr>
          <w:sz w:val="16"/>
          <w:szCs w:val="16"/>
        </w:rPr>
      </w:pPr>
    </w:p>
    <w:p w14:paraId="0227A08C" w14:textId="793FEE2A" w:rsidR="004D4BB4" w:rsidRDefault="004D4BB4" w:rsidP="00E479A8">
      <w:pPr>
        <w:jc w:val="both"/>
        <w:rPr>
          <w:b/>
          <w:bCs/>
          <w:sz w:val="22"/>
          <w:szCs w:val="22"/>
        </w:rPr>
      </w:pPr>
      <w:r>
        <w:rPr>
          <w:sz w:val="22"/>
          <w:szCs w:val="22"/>
        </w:rPr>
        <w:t xml:space="preserve">Per quello che riguarda l’Italia, i risultati sono grossomodo simili a quelli osservati per la UE. Nel periodo 2016-2019 infatti si è passati da un tasso d’errore del 3,49% a uno del 1,29%, inferiore alla soglia di materialità </w:t>
      </w:r>
      <w:r>
        <w:rPr>
          <w:sz w:val="22"/>
          <w:szCs w:val="22"/>
        </w:rPr>
        <w:lastRenderedPageBreak/>
        <w:t xml:space="preserve">del 2%. Nel 2020, è stato rilevato un tasso d’errore più alto, pari al 1,72%, e poste riserve su quattro Organismi Pagatori, anziché uno-due come negli anni precedenti. Nel 2021 i dati sono ritornati a migliorare: il tasso di errore è calato al 1,63% e le riserve sono state due. Si può dire pertanto che la </w:t>
      </w:r>
      <w:r>
        <w:rPr>
          <w:i/>
          <w:iCs/>
          <w:sz w:val="22"/>
          <w:szCs w:val="22"/>
        </w:rPr>
        <w:t xml:space="preserve">performance </w:t>
      </w:r>
      <w:r>
        <w:rPr>
          <w:sz w:val="22"/>
          <w:szCs w:val="22"/>
        </w:rPr>
        <w:t>nazionale, con tassi d’errore che ormai dal 2019 sono inferiori alla soglia di materialità, sia positiva, anche se permangono margini di miglioramento dimostrati anche dall’applicazione della riserva sull’operato di alcuni Organismi Pagatori.</w:t>
      </w:r>
    </w:p>
    <w:p w14:paraId="5D12DDA5" w14:textId="4FC9CCFA" w:rsidR="0053682C" w:rsidRDefault="0053682C" w:rsidP="00E479A8">
      <w:pPr>
        <w:jc w:val="both"/>
        <w:rPr>
          <w:noProof/>
          <w:sz w:val="16"/>
          <w:szCs w:val="16"/>
        </w:rPr>
      </w:pPr>
    </w:p>
    <w:p w14:paraId="1B2BE054" w14:textId="2A007DEA" w:rsidR="007A228A" w:rsidRPr="003432F1" w:rsidRDefault="009401D0" w:rsidP="003432F1">
      <w:pPr>
        <w:jc w:val="both"/>
        <w:rPr>
          <w:sz w:val="22"/>
          <w:szCs w:val="22"/>
        </w:rPr>
      </w:pPr>
      <w:r>
        <w:rPr>
          <w:sz w:val="22"/>
          <w:szCs w:val="22"/>
        </w:rPr>
        <w:t xml:space="preserve">Nella </w:t>
      </w:r>
      <w:r w:rsidR="003432F1">
        <w:rPr>
          <w:sz w:val="22"/>
          <w:szCs w:val="22"/>
        </w:rPr>
        <w:t xml:space="preserve">figura </w:t>
      </w:r>
      <w:r w:rsidR="00895D3E">
        <w:rPr>
          <w:sz w:val="22"/>
          <w:szCs w:val="22"/>
        </w:rPr>
        <w:t>3</w:t>
      </w:r>
      <w:r w:rsidR="00BB5B2C">
        <w:rPr>
          <w:sz w:val="22"/>
          <w:szCs w:val="22"/>
        </w:rPr>
        <w:t xml:space="preserve"> </w:t>
      </w:r>
      <w:r>
        <w:rPr>
          <w:sz w:val="22"/>
          <w:szCs w:val="22"/>
        </w:rPr>
        <w:t xml:space="preserve">che segue </w:t>
      </w:r>
      <w:r w:rsidR="00FC4545">
        <w:rPr>
          <w:sz w:val="22"/>
          <w:szCs w:val="22"/>
        </w:rPr>
        <w:t xml:space="preserve">si riporta il </w:t>
      </w:r>
      <w:r w:rsidR="00FC4545" w:rsidRPr="009401D0">
        <w:rPr>
          <w:b/>
          <w:bCs/>
          <w:sz w:val="22"/>
          <w:szCs w:val="22"/>
        </w:rPr>
        <w:t>sistema di classificazione degli errori</w:t>
      </w:r>
      <w:r w:rsidR="00FC4545">
        <w:rPr>
          <w:sz w:val="22"/>
          <w:szCs w:val="22"/>
        </w:rPr>
        <w:t xml:space="preserve"> predisposto dalla Commissione Europea </w:t>
      </w:r>
      <w:r w:rsidR="00AC0D13">
        <w:rPr>
          <w:sz w:val="22"/>
          <w:szCs w:val="22"/>
        </w:rPr>
        <w:t xml:space="preserve">e </w:t>
      </w:r>
      <w:r w:rsidR="00FC4545">
        <w:rPr>
          <w:sz w:val="22"/>
          <w:szCs w:val="22"/>
        </w:rPr>
        <w:t>adottato per la predisposizione ed implementazione del PANTE.</w:t>
      </w:r>
    </w:p>
    <w:p w14:paraId="23237FB7" w14:textId="23E746DB" w:rsidR="00FE08C7" w:rsidRDefault="00FE08C7" w:rsidP="005A0845">
      <w:pPr>
        <w:rPr>
          <w:sz w:val="16"/>
          <w:szCs w:val="16"/>
        </w:rPr>
      </w:pPr>
    </w:p>
    <w:p w14:paraId="7A95FBF3" w14:textId="1C05C197" w:rsidR="00FE08C7" w:rsidRDefault="003432F1" w:rsidP="005A0845">
      <w:pPr>
        <w:rPr>
          <w:sz w:val="16"/>
          <w:szCs w:val="16"/>
        </w:rPr>
      </w:pPr>
      <w:r>
        <w:rPr>
          <w:noProof/>
        </w:rPr>
        <w:drawing>
          <wp:inline distT="0" distB="0" distL="0" distR="0" wp14:anchorId="23E07095" wp14:editId="744BDCD7">
            <wp:extent cx="4867275" cy="3514725"/>
            <wp:effectExtent l="0" t="0" r="9525" b="9525"/>
            <wp:docPr id="138630953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309538" name=""/>
                    <pic:cNvPicPr/>
                  </pic:nvPicPr>
                  <pic:blipFill>
                    <a:blip r:embed="rId15"/>
                    <a:stretch>
                      <a:fillRect/>
                    </a:stretch>
                  </pic:blipFill>
                  <pic:spPr>
                    <a:xfrm>
                      <a:off x="0" y="0"/>
                      <a:ext cx="4867275" cy="3514725"/>
                    </a:xfrm>
                    <a:prstGeom prst="rect">
                      <a:avLst/>
                    </a:prstGeom>
                  </pic:spPr>
                </pic:pic>
              </a:graphicData>
            </a:graphic>
          </wp:inline>
        </w:drawing>
      </w:r>
    </w:p>
    <w:p w14:paraId="59DA2659" w14:textId="30EE49A9" w:rsidR="003432F1" w:rsidRPr="00D84191" w:rsidRDefault="003432F1" w:rsidP="003432F1">
      <w:pPr>
        <w:jc w:val="both"/>
        <w:rPr>
          <w:b/>
          <w:bCs/>
          <w:sz w:val="18"/>
          <w:szCs w:val="18"/>
        </w:rPr>
      </w:pPr>
      <w:r w:rsidRPr="00D84191">
        <w:rPr>
          <w:b/>
          <w:bCs/>
          <w:sz w:val="18"/>
          <w:szCs w:val="18"/>
        </w:rPr>
        <w:t xml:space="preserve">Fig. </w:t>
      </w:r>
      <w:r w:rsidR="00895D3E">
        <w:rPr>
          <w:b/>
          <w:bCs/>
          <w:sz w:val="18"/>
          <w:szCs w:val="18"/>
        </w:rPr>
        <w:t>3</w:t>
      </w:r>
      <w:r w:rsidRPr="00D84191">
        <w:rPr>
          <w:b/>
          <w:bCs/>
          <w:sz w:val="18"/>
          <w:szCs w:val="18"/>
        </w:rPr>
        <w:t xml:space="preserve"> - </w:t>
      </w:r>
      <w:r w:rsidRPr="003432F1">
        <w:rPr>
          <w:b/>
          <w:bCs/>
          <w:sz w:val="18"/>
          <w:szCs w:val="18"/>
        </w:rPr>
        <w:t>Classificazione delle cause d’errore utilizzata per il PANTE</w:t>
      </w:r>
      <w:r w:rsidR="002A31DA">
        <w:rPr>
          <w:b/>
          <w:bCs/>
          <w:sz w:val="18"/>
          <w:szCs w:val="18"/>
        </w:rPr>
        <w:t xml:space="preserve"> (Fonte: Rete rurale, 2022)</w:t>
      </w:r>
      <w:r w:rsidR="002A31DA">
        <w:rPr>
          <w:rStyle w:val="Rimandonotaapidipagina"/>
          <w:b/>
          <w:bCs/>
          <w:sz w:val="18"/>
          <w:szCs w:val="18"/>
        </w:rPr>
        <w:footnoteReference w:id="4"/>
      </w:r>
    </w:p>
    <w:p w14:paraId="4A32DED9" w14:textId="1C9BFA69" w:rsidR="00FE08C7" w:rsidRDefault="00FE08C7" w:rsidP="005A0845">
      <w:pPr>
        <w:rPr>
          <w:sz w:val="16"/>
          <w:szCs w:val="16"/>
        </w:rPr>
      </w:pPr>
    </w:p>
    <w:p w14:paraId="26E23DE0" w14:textId="4A37EB3B" w:rsidR="00FE08C7" w:rsidRDefault="002A31DA" w:rsidP="002A31DA">
      <w:pPr>
        <w:jc w:val="both"/>
        <w:rPr>
          <w:sz w:val="22"/>
          <w:szCs w:val="22"/>
        </w:rPr>
      </w:pPr>
      <w:r>
        <w:rPr>
          <w:sz w:val="22"/>
          <w:szCs w:val="22"/>
        </w:rPr>
        <w:t xml:space="preserve">Alcune di queste cause d’errore (RC, dall’inglese </w:t>
      </w:r>
      <w:proofErr w:type="spellStart"/>
      <w:r>
        <w:rPr>
          <w:i/>
          <w:iCs/>
          <w:sz w:val="22"/>
          <w:szCs w:val="22"/>
        </w:rPr>
        <w:t>root</w:t>
      </w:r>
      <w:proofErr w:type="spellEnd"/>
      <w:r>
        <w:rPr>
          <w:i/>
          <w:iCs/>
          <w:sz w:val="22"/>
          <w:szCs w:val="22"/>
        </w:rPr>
        <w:t xml:space="preserve"> </w:t>
      </w:r>
      <w:proofErr w:type="spellStart"/>
      <w:r>
        <w:rPr>
          <w:i/>
          <w:iCs/>
          <w:sz w:val="22"/>
          <w:szCs w:val="22"/>
        </w:rPr>
        <w:t>causes</w:t>
      </w:r>
      <w:proofErr w:type="spellEnd"/>
      <w:r>
        <w:rPr>
          <w:sz w:val="22"/>
          <w:szCs w:val="22"/>
        </w:rPr>
        <w:t xml:space="preserve">) sono specifiche </w:t>
      </w:r>
      <w:r w:rsidR="00D06C5F">
        <w:rPr>
          <w:sz w:val="22"/>
          <w:szCs w:val="22"/>
        </w:rPr>
        <w:t>de</w:t>
      </w:r>
      <w:r>
        <w:rPr>
          <w:sz w:val="22"/>
          <w:szCs w:val="22"/>
        </w:rPr>
        <w:t>lle misure a capo o superficie</w:t>
      </w:r>
      <w:r w:rsidR="00D06C5F">
        <w:rPr>
          <w:sz w:val="22"/>
          <w:szCs w:val="22"/>
        </w:rPr>
        <w:t xml:space="preserve"> (</w:t>
      </w:r>
      <w:r>
        <w:rPr>
          <w:sz w:val="22"/>
          <w:szCs w:val="22"/>
        </w:rPr>
        <w:t>ricadenti nel Sistema Integrato di Gestione e Controllo (SIGC) della PAC</w:t>
      </w:r>
      <w:r w:rsidR="00D06C5F">
        <w:rPr>
          <w:sz w:val="22"/>
          <w:szCs w:val="22"/>
        </w:rPr>
        <w:t xml:space="preserve">) mentre altre </w:t>
      </w:r>
      <w:r w:rsidR="00C831FB">
        <w:rPr>
          <w:sz w:val="22"/>
          <w:szCs w:val="22"/>
        </w:rPr>
        <w:t xml:space="preserve">sono attribuibili </w:t>
      </w:r>
      <w:r>
        <w:rPr>
          <w:sz w:val="22"/>
          <w:szCs w:val="22"/>
        </w:rPr>
        <w:t>alle misure che non ricadono nel SIGC, rappresentate dalle misure per il sostegno agli investimenti, dalle misure per lo sviluppo del sistema delle conoscenze e altre. Altre cause d’errore sono invece comuni a tutte le misure previste dallo sviluppo rurale.</w:t>
      </w:r>
    </w:p>
    <w:p w14:paraId="3FF25F53" w14:textId="77777777" w:rsidR="00FD1BB5" w:rsidRDefault="00FD1BB5" w:rsidP="002A31DA">
      <w:pPr>
        <w:jc w:val="both"/>
        <w:rPr>
          <w:sz w:val="22"/>
          <w:szCs w:val="22"/>
        </w:rPr>
      </w:pPr>
    </w:p>
    <w:p w14:paraId="3AADBDB0" w14:textId="2C728877" w:rsidR="00FD1BB5" w:rsidRDefault="00FD1BB5" w:rsidP="002A31DA">
      <w:pPr>
        <w:jc w:val="both"/>
        <w:rPr>
          <w:sz w:val="16"/>
          <w:szCs w:val="16"/>
        </w:rPr>
      </w:pPr>
      <w:r>
        <w:rPr>
          <w:sz w:val="22"/>
          <w:szCs w:val="22"/>
        </w:rPr>
        <w:t xml:space="preserve">Le principali misure a investimento coinvolte nelle indagini sui programmi di sviluppo rurale sono state: </w:t>
      </w:r>
    </w:p>
    <w:p w14:paraId="3266BAFE" w14:textId="77777777" w:rsidR="00FD1BB5" w:rsidRDefault="00FD1BB5" w:rsidP="0006792B">
      <w:pPr>
        <w:jc w:val="both"/>
        <w:rPr>
          <w:i/>
          <w:iCs/>
          <w:sz w:val="16"/>
          <w:szCs w:val="16"/>
        </w:rPr>
      </w:pPr>
    </w:p>
    <w:p w14:paraId="119243E8" w14:textId="0004A7A8" w:rsidR="00FD1BB5" w:rsidRPr="00FD1BB5" w:rsidRDefault="00FD1BB5" w:rsidP="00FD1BB5">
      <w:pPr>
        <w:pStyle w:val="Paragrafoelenco"/>
        <w:numPr>
          <w:ilvl w:val="0"/>
          <w:numId w:val="14"/>
        </w:numPr>
        <w:jc w:val="both"/>
        <w:rPr>
          <w:sz w:val="22"/>
          <w:szCs w:val="22"/>
        </w:rPr>
      </w:pPr>
      <w:r w:rsidRPr="00FD1BB5">
        <w:rPr>
          <w:sz w:val="22"/>
          <w:szCs w:val="22"/>
        </w:rPr>
        <w:t>M 4 – Investimenti in immobilizzazioni materiali;</w:t>
      </w:r>
    </w:p>
    <w:p w14:paraId="3343C65E" w14:textId="1AFF65F4" w:rsidR="00FD1BB5" w:rsidRPr="00FD1BB5" w:rsidRDefault="00FD1BB5" w:rsidP="00FD1BB5">
      <w:pPr>
        <w:pStyle w:val="Paragrafoelenco"/>
        <w:numPr>
          <w:ilvl w:val="0"/>
          <w:numId w:val="14"/>
        </w:numPr>
        <w:jc w:val="both"/>
        <w:rPr>
          <w:sz w:val="22"/>
          <w:szCs w:val="22"/>
        </w:rPr>
      </w:pPr>
      <w:r w:rsidRPr="00FD1BB5">
        <w:rPr>
          <w:sz w:val="22"/>
          <w:szCs w:val="22"/>
        </w:rPr>
        <w:t>M 5 – Ripristino del potenziale produttivo agricolo danneggiato da calamità naturali e</w:t>
      </w:r>
    </w:p>
    <w:p w14:paraId="4A1DC8A2" w14:textId="77777777" w:rsidR="00FD1BB5" w:rsidRPr="00FD1BB5" w:rsidRDefault="00FD1BB5" w:rsidP="00FD1BB5">
      <w:pPr>
        <w:pStyle w:val="Paragrafoelenco"/>
        <w:numPr>
          <w:ilvl w:val="0"/>
          <w:numId w:val="14"/>
        </w:numPr>
        <w:jc w:val="both"/>
        <w:rPr>
          <w:sz w:val="22"/>
          <w:szCs w:val="22"/>
        </w:rPr>
      </w:pPr>
      <w:r w:rsidRPr="00FD1BB5">
        <w:rPr>
          <w:sz w:val="22"/>
          <w:szCs w:val="22"/>
        </w:rPr>
        <w:t>introduzione di adeguate misure di prevenzione;</w:t>
      </w:r>
    </w:p>
    <w:p w14:paraId="73A6C970" w14:textId="1D03C372" w:rsidR="00FD1BB5" w:rsidRPr="00FD1BB5" w:rsidRDefault="00FD1BB5" w:rsidP="00FD1BB5">
      <w:pPr>
        <w:pStyle w:val="Paragrafoelenco"/>
        <w:numPr>
          <w:ilvl w:val="0"/>
          <w:numId w:val="14"/>
        </w:numPr>
        <w:jc w:val="both"/>
        <w:rPr>
          <w:sz w:val="22"/>
          <w:szCs w:val="22"/>
        </w:rPr>
      </w:pPr>
      <w:r w:rsidRPr="00FD1BB5">
        <w:rPr>
          <w:sz w:val="22"/>
          <w:szCs w:val="22"/>
        </w:rPr>
        <w:t>M 6 – Sviluppo delle aziende agricole e delle imprese (solo sottomisura 6.4);</w:t>
      </w:r>
    </w:p>
    <w:p w14:paraId="608ABEAD" w14:textId="04C0DECE" w:rsidR="00FD1BB5" w:rsidRPr="00FD1BB5" w:rsidRDefault="00FD1BB5" w:rsidP="00FD1BB5">
      <w:pPr>
        <w:pStyle w:val="Paragrafoelenco"/>
        <w:numPr>
          <w:ilvl w:val="0"/>
          <w:numId w:val="14"/>
        </w:numPr>
        <w:jc w:val="both"/>
        <w:rPr>
          <w:sz w:val="22"/>
          <w:szCs w:val="22"/>
        </w:rPr>
      </w:pPr>
      <w:r w:rsidRPr="00FD1BB5">
        <w:rPr>
          <w:sz w:val="22"/>
          <w:szCs w:val="22"/>
        </w:rPr>
        <w:t>M 7 – Servizi di base e rinnovamento dei villaggi nelle zone rurali;</w:t>
      </w:r>
    </w:p>
    <w:p w14:paraId="45C1EFC1" w14:textId="5281F461" w:rsidR="00FD1BB5" w:rsidRPr="00FD1BB5" w:rsidRDefault="00FD1BB5" w:rsidP="00FD1BB5">
      <w:pPr>
        <w:pStyle w:val="Paragrafoelenco"/>
        <w:numPr>
          <w:ilvl w:val="0"/>
          <w:numId w:val="14"/>
        </w:numPr>
        <w:jc w:val="both"/>
        <w:rPr>
          <w:sz w:val="22"/>
          <w:szCs w:val="22"/>
        </w:rPr>
      </w:pPr>
      <w:r w:rsidRPr="00FD1BB5">
        <w:rPr>
          <w:sz w:val="22"/>
          <w:szCs w:val="22"/>
        </w:rPr>
        <w:t>M 8 – Investimenti nello sviluppo delle aree forestali e nel miglioramento della</w:t>
      </w:r>
    </w:p>
    <w:p w14:paraId="37A89FDA" w14:textId="3C179116" w:rsidR="00FD1BB5" w:rsidRDefault="00FD1BB5" w:rsidP="00FD1BB5">
      <w:pPr>
        <w:pStyle w:val="Paragrafoelenco"/>
        <w:numPr>
          <w:ilvl w:val="0"/>
          <w:numId w:val="14"/>
        </w:numPr>
        <w:jc w:val="both"/>
        <w:rPr>
          <w:sz w:val="22"/>
          <w:szCs w:val="22"/>
        </w:rPr>
      </w:pPr>
      <w:r w:rsidRPr="00FD1BB5">
        <w:rPr>
          <w:sz w:val="22"/>
          <w:szCs w:val="22"/>
        </w:rPr>
        <w:t>redditività delle foreste (solo sottomisura 8.6).</w:t>
      </w:r>
    </w:p>
    <w:p w14:paraId="758ED3CF" w14:textId="77777777" w:rsidR="00AE34AD" w:rsidRDefault="00AE34AD" w:rsidP="00FD1BB5">
      <w:pPr>
        <w:jc w:val="both"/>
        <w:rPr>
          <w:sz w:val="22"/>
          <w:szCs w:val="22"/>
        </w:rPr>
      </w:pPr>
    </w:p>
    <w:p w14:paraId="6DE9C4D3" w14:textId="4237E667" w:rsidR="00B65F8D" w:rsidRDefault="00FD1BB5" w:rsidP="00FD1BB5">
      <w:pPr>
        <w:jc w:val="both"/>
        <w:rPr>
          <w:sz w:val="22"/>
          <w:szCs w:val="22"/>
        </w:rPr>
      </w:pPr>
      <w:r>
        <w:rPr>
          <w:sz w:val="22"/>
          <w:szCs w:val="22"/>
        </w:rPr>
        <w:t>Le principali osservazioni formulate dagli auditor comunitari sono riportate di seguito, suddivise in base alla categoria di errore riscontrata</w:t>
      </w:r>
      <w:r w:rsidR="00235F97">
        <w:rPr>
          <w:sz w:val="22"/>
          <w:szCs w:val="22"/>
        </w:rPr>
        <w:t>:</w:t>
      </w:r>
    </w:p>
    <w:p w14:paraId="5AA66A00" w14:textId="0B0A6EB0" w:rsidR="00B65F8D" w:rsidRDefault="00B65F8D" w:rsidP="00B65F8D">
      <w:pPr>
        <w:pStyle w:val="Paragrafoelenco"/>
        <w:numPr>
          <w:ilvl w:val="0"/>
          <w:numId w:val="8"/>
        </w:numPr>
        <w:jc w:val="both"/>
        <w:rPr>
          <w:sz w:val="22"/>
          <w:szCs w:val="22"/>
        </w:rPr>
      </w:pPr>
      <w:r w:rsidRPr="00B65F8D">
        <w:rPr>
          <w:sz w:val="22"/>
          <w:szCs w:val="22"/>
        </w:rPr>
        <w:t>Mancato rispetto degli impegni da parte dei beneficiari (RC8)</w:t>
      </w:r>
    </w:p>
    <w:p w14:paraId="1428F546" w14:textId="77777777" w:rsidR="00B65F8D" w:rsidRDefault="00B65F8D" w:rsidP="00B65F8D">
      <w:pPr>
        <w:pStyle w:val="Paragrafoelenco"/>
        <w:numPr>
          <w:ilvl w:val="0"/>
          <w:numId w:val="8"/>
        </w:numPr>
        <w:jc w:val="both"/>
        <w:rPr>
          <w:sz w:val="22"/>
          <w:szCs w:val="22"/>
        </w:rPr>
      </w:pPr>
      <w:r w:rsidRPr="00B65F8D">
        <w:rPr>
          <w:sz w:val="22"/>
          <w:szCs w:val="22"/>
        </w:rPr>
        <w:t>Ragionevolezza dei costi/ammissibilità (RC10)</w:t>
      </w:r>
    </w:p>
    <w:p w14:paraId="424C25DB" w14:textId="3AAE76B9" w:rsidR="00B65F8D" w:rsidRDefault="00B65F8D" w:rsidP="00B65F8D">
      <w:pPr>
        <w:pStyle w:val="Paragrafoelenco"/>
        <w:numPr>
          <w:ilvl w:val="0"/>
          <w:numId w:val="8"/>
        </w:numPr>
        <w:jc w:val="both"/>
        <w:rPr>
          <w:sz w:val="22"/>
          <w:szCs w:val="22"/>
        </w:rPr>
      </w:pPr>
      <w:r w:rsidRPr="00B65F8D">
        <w:rPr>
          <w:sz w:val="22"/>
          <w:szCs w:val="22"/>
        </w:rPr>
        <w:t>Sistema dei controlli e procedure amministrative (RC12)</w:t>
      </w:r>
      <w:r>
        <w:rPr>
          <w:sz w:val="22"/>
          <w:szCs w:val="22"/>
        </w:rPr>
        <w:t>.</w:t>
      </w:r>
    </w:p>
    <w:p w14:paraId="3058D88C" w14:textId="74008A55" w:rsidR="00B65F8D" w:rsidRPr="00B65F8D" w:rsidRDefault="00235F97" w:rsidP="00B65F8D">
      <w:pPr>
        <w:jc w:val="both"/>
        <w:rPr>
          <w:sz w:val="22"/>
          <w:szCs w:val="22"/>
        </w:rPr>
      </w:pPr>
      <w:r>
        <w:rPr>
          <w:sz w:val="22"/>
          <w:szCs w:val="22"/>
        </w:rPr>
        <w:lastRenderedPageBreak/>
        <w:t xml:space="preserve">Tra le </w:t>
      </w:r>
      <w:r w:rsidR="00B65F8D" w:rsidRPr="00B65F8D">
        <w:rPr>
          <w:sz w:val="22"/>
          <w:szCs w:val="22"/>
        </w:rPr>
        <w:t xml:space="preserve">misure a superficie e a capo oggetto di indagine </w:t>
      </w:r>
      <w:r>
        <w:rPr>
          <w:sz w:val="22"/>
          <w:szCs w:val="22"/>
        </w:rPr>
        <w:t xml:space="preserve">vi </w:t>
      </w:r>
      <w:r w:rsidR="00B65F8D" w:rsidRPr="00B65F8D">
        <w:rPr>
          <w:sz w:val="22"/>
          <w:szCs w:val="22"/>
        </w:rPr>
        <w:t>sono:</w:t>
      </w:r>
    </w:p>
    <w:p w14:paraId="4FF0D03B" w14:textId="77777777" w:rsidR="00B65F8D" w:rsidRDefault="00B65F8D" w:rsidP="00B65F8D">
      <w:pPr>
        <w:pStyle w:val="Paragrafoelenco"/>
        <w:numPr>
          <w:ilvl w:val="0"/>
          <w:numId w:val="14"/>
        </w:numPr>
        <w:jc w:val="both"/>
        <w:rPr>
          <w:sz w:val="22"/>
          <w:szCs w:val="22"/>
        </w:rPr>
      </w:pPr>
      <w:r w:rsidRPr="00B65F8D">
        <w:rPr>
          <w:sz w:val="22"/>
          <w:szCs w:val="22"/>
        </w:rPr>
        <w:t>M 10: Pagamenti agro-climatico-ambientali;</w:t>
      </w:r>
    </w:p>
    <w:p w14:paraId="0D1E2F8E" w14:textId="77777777" w:rsidR="00B65F8D" w:rsidRDefault="00B65F8D" w:rsidP="00B65F8D">
      <w:pPr>
        <w:pStyle w:val="Paragrafoelenco"/>
        <w:numPr>
          <w:ilvl w:val="0"/>
          <w:numId w:val="14"/>
        </w:numPr>
        <w:jc w:val="both"/>
        <w:rPr>
          <w:sz w:val="22"/>
          <w:szCs w:val="22"/>
        </w:rPr>
      </w:pPr>
      <w:r w:rsidRPr="00B65F8D">
        <w:rPr>
          <w:sz w:val="22"/>
          <w:szCs w:val="22"/>
        </w:rPr>
        <w:t>M 11: Agricoltura biologica;</w:t>
      </w:r>
    </w:p>
    <w:p w14:paraId="4BA8E28A" w14:textId="38AB8982" w:rsidR="00B65F8D" w:rsidRPr="00B65F8D" w:rsidRDefault="00B65F8D" w:rsidP="00B65F8D">
      <w:pPr>
        <w:pStyle w:val="Paragrafoelenco"/>
        <w:numPr>
          <w:ilvl w:val="0"/>
          <w:numId w:val="14"/>
        </w:numPr>
        <w:jc w:val="both"/>
        <w:rPr>
          <w:sz w:val="22"/>
          <w:szCs w:val="22"/>
        </w:rPr>
      </w:pPr>
      <w:r w:rsidRPr="00B65F8D">
        <w:rPr>
          <w:sz w:val="22"/>
          <w:szCs w:val="22"/>
        </w:rPr>
        <w:t>M 13: Indennità a favore delle zone soggette a vincoli naturali o ad altri vincoli specifici</w:t>
      </w:r>
      <w:r w:rsidR="00A1285A">
        <w:rPr>
          <w:sz w:val="22"/>
          <w:szCs w:val="22"/>
        </w:rPr>
        <w:t>.</w:t>
      </w:r>
    </w:p>
    <w:p w14:paraId="694C244E" w14:textId="77777777" w:rsidR="00B65F8D" w:rsidRDefault="00B65F8D" w:rsidP="0006792B">
      <w:pPr>
        <w:jc w:val="both"/>
        <w:rPr>
          <w:sz w:val="22"/>
          <w:szCs w:val="22"/>
        </w:rPr>
      </w:pPr>
    </w:p>
    <w:p w14:paraId="188E2D85" w14:textId="0360969A" w:rsidR="001E7D58" w:rsidRDefault="00A1285A" w:rsidP="0006792B">
      <w:pPr>
        <w:jc w:val="both"/>
        <w:rPr>
          <w:sz w:val="22"/>
          <w:szCs w:val="22"/>
        </w:rPr>
      </w:pPr>
      <w:r>
        <w:rPr>
          <w:sz w:val="22"/>
          <w:szCs w:val="22"/>
        </w:rPr>
        <w:t>In questo caso, l</w:t>
      </w:r>
      <w:r w:rsidR="001E7D58">
        <w:rPr>
          <w:sz w:val="22"/>
          <w:szCs w:val="22"/>
        </w:rPr>
        <w:t>e principali categori</w:t>
      </w:r>
      <w:r>
        <w:rPr>
          <w:sz w:val="22"/>
          <w:szCs w:val="22"/>
        </w:rPr>
        <w:t>e</w:t>
      </w:r>
      <w:r w:rsidR="001E7D58">
        <w:rPr>
          <w:sz w:val="22"/>
          <w:szCs w:val="22"/>
        </w:rPr>
        <w:t xml:space="preserve"> di errore riscontrate dalla Commissione sono state:</w:t>
      </w:r>
    </w:p>
    <w:p w14:paraId="6EEED73C" w14:textId="77777777" w:rsidR="001E7D58" w:rsidRDefault="009C10BD" w:rsidP="001E7D58">
      <w:pPr>
        <w:pStyle w:val="Paragrafoelenco"/>
        <w:numPr>
          <w:ilvl w:val="0"/>
          <w:numId w:val="16"/>
        </w:numPr>
        <w:jc w:val="both"/>
        <w:rPr>
          <w:sz w:val="22"/>
          <w:szCs w:val="22"/>
        </w:rPr>
      </w:pPr>
      <w:r w:rsidRPr="001E7D58">
        <w:rPr>
          <w:sz w:val="22"/>
          <w:szCs w:val="22"/>
        </w:rPr>
        <w:t>Sistema delle riduzioni (RC1)</w:t>
      </w:r>
    </w:p>
    <w:p w14:paraId="4C3080C7" w14:textId="25CBAEE3" w:rsidR="001E7D58" w:rsidRDefault="009C10BD" w:rsidP="001E7D58">
      <w:pPr>
        <w:pStyle w:val="Paragrafoelenco"/>
        <w:numPr>
          <w:ilvl w:val="0"/>
          <w:numId w:val="16"/>
        </w:numPr>
        <w:jc w:val="both"/>
        <w:rPr>
          <w:sz w:val="22"/>
          <w:szCs w:val="22"/>
        </w:rPr>
      </w:pPr>
      <w:r w:rsidRPr="001E7D58">
        <w:rPr>
          <w:sz w:val="22"/>
          <w:szCs w:val="22"/>
        </w:rPr>
        <w:t>Aggiornamento del sistema LPIS</w:t>
      </w:r>
      <w:r w:rsidR="00A1285A">
        <w:rPr>
          <w:sz w:val="22"/>
          <w:szCs w:val="22"/>
        </w:rPr>
        <w:t xml:space="preserve"> (</w:t>
      </w:r>
      <w:r w:rsidR="00A1285A" w:rsidRPr="00A1285A">
        <w:rPr>
          <w:sz w:val="22"/>
          <w:szCs w:val="22"/>
        </w:rPr>
        <w:t xml:space="preserve">Land </w:t>
      </w:r>
      <w:proofErr w:type="spellStart"/>
      <w:r w:rsidR="00A1285A" w:rsidRPr="00A1285A">
        <w:rPr>
          <w:sz w:val="22"/>
          <w:szCs w:val="22"/>
        </w:rPr>
        <w:t>Parcel</w:t>
      </w:r>
      <w:proofErr w:type="spellEnd"/>
      <w:r w:rsidR="00A1285A" w:rsidRPr="00A1285A">
        <w:rPr>
          <w:sz w:val="22"/>
          <w:szCs w:val="22"/>
        </w:rPr>
        <w:t xml:space="preserve"> </w:t>
      </w:r>
      <w:proofErr w:type="spellStart"/>
      <w:r w:rsidR="00A1285A" w:rsidRPr="00A1285A">
        <w:rPr>
          <w:sz w:val="22"/>
          <w:szCs w:val="22"/>
        </w:rPr>
        <w:t>Identification</w:t>
      </w:r>
      <w:proofErr w:type="spellEnd"/>
      <w:r w:rsidR="00A1285A" w:rsidRPr="00A1285A">
        <w:rPr>
          <w:sz w:val="22"/>
          <w:szCs w:val="22"/>
        </w:rPr>
        <w:t xml:space="preserve"> System</w:t>
      </w:r>
      <w:r w:rsidR="00A1285A">
        <w:rPr>
          <w:sz w:val="22"/>
          <w:szCs w:val="22"/>
        </w:rPr>
        <w:t>)</w:t>
      </w:r>
      <w:r w:rsidRPr="001E7D58">
        <w:rPr>
          <w:sz w:val="22"/>
          <w:szCs w:val="22"/>
        </w:rPr>
        <w:t xml:space="preserve"> (RC2)</w:t>
      </w:r>
    </w:p>
    <w:p w14:paraId="26A073FE" w14:textId="77777777" w:rsidR="001E7D58" w:rsidRDefault="009C10BD" w:rsidP="001E7D58">
      <w:pPr>
        <w:pStyle w:val="Paragrafoelenco"/>
        <w:numPr>
          <w:ilvl w:val="0"/>
          <w:numId w:val="16"/>
        </w:numPr>
        <w:jc w:val="both"/>
        <w:rPr>
          <w:sz w:val="22"/>
          <w:szCs w:val="22"/>
        </w:rPr>
      </w:pPr>
      <w:r w:rsidRPr="001E7D58">
        <w:rPr>
          <w:sz w:val="22"/>
          <w:szCs w:val="22"/>
        </w:rPr>
        <w:t>Scambio di informazioni tra Amministrazioni (RC3)</w:t>
      </w:r>
    </w:p>
    <w:p w14:paraId="045EB292" w14:textId="0CD370F1" w:rsidR="001E7D58" w:rsidRPr="001E7D58" w:rsidRDefault="001E7D58" w:rsidP="001E7D58">
      <w:pPr>
        <w:pStyle w:val="Paragrafoelenco"/>
        <w:numPr>
          <w:ilvl w:val="0"/>
          <w:numId w:val="16"/>
        </w:numPr>
        <w:jc w:val="both"/>
        <w:rPr>
          <w:sz w:val="22"/>
          <w:szCs w:val="22"/>
        </w:rPr>
      </w:pPr>
      <w:r w:rsidRPr="001E7D58">
        <w:rPr>
          <w:sz w:val="22"/>
          <w:szCs w:val="22"/>
        </w:rPr>
        <w:t>Sistema dei controlli e procedure amministrative (RC12)</w:t>
      </w:r>
    </w:p>
    <w:p w14:paraId="21CD8EA6" w14:textId="77777777" w:rsidR="0006792B" w:rsidRPr="00095721" w:rsidRDefault="0006792B" w:rsidP="0006792B">
      <w:pPr>
        <w:jc w:val="both"/>
        <w:rPr>
          <w:sz w:val="22"/>
          <w:szCs w:val="22"/>
        </w:rPr>
      </w:pPr>
    </w:p>
    <w:p w14:paraId="6E9E4027" w14:textId="1EF0A9E7" w:rsidR="00AE34AD" w:rsidRPr="00AE34AD" w:rsidRDefault="00AE34AD" w:rsidP="00AE34AD">
      <w:pPr>
        <w:jc w:val="both"/>
        <w:rPr>
          <w:sz w:val="22"/>
          <w:szCs w:val="22"/>
        </w:rPr>
      </w:pPr>
      <w:r w:rsidRPr="00AE34AD">
        <w:rPr>
          <w:sz w:val="22"/>
          <w:szCs w:val="22"/>
        </w:rPr>
        <w:t>Le rettifiche finanziarie proposte dalla Commissione europea per le misure ricadenti nei PSR 2014-2022</w:t>
      </w:r>
      <w:r>
        <w:rPr>
          <w:sz w:val="22"/>
          <w:szCs w:val="22"/>
        </w:rPr>
        <w:t xml:space="preserve"> </w:t>
      </w:r>
      <w:r w:rsidRPr="00AE34AD">
        <w:rPr>
          <w:sz w:val="22"/>
          <w:szCs w:val="22"/>
        </w:rPr>
        <w:t xml:space="preserve">ammontano, fino a dicembre 2022, a complessivi euro 7.050.743. </w:t>
      </w:r>
    </w:p>
    <w:p w14:paraId="783AC3E9" w14:textId="4A6CDB89" w:rsidR="00AE34AD" w:rsidRDefault="00AE34AD" w:rsidP="00AE34AD">
      <w:pPr>
        <w:jc w:val="both"/>
        <w:rPr>
          <w:sz w:val="22"/>
          <w:szCs w:val="22"/>
        </w:rPr>
      </w:pPr>
      <w:r w:rsidRPr="00AE34AD">
        <w:rPr>
          <w:sz w:val="22"/>
          <w:szCs w:val="22"/>
        </w:rPr>
        <w:t>Le principali cause di errore riscontrate nelle indagini per cui la DG AGRI ha proposto una rettifica</w:t>
      </w:r>
      <w:r>
        <w:rPr>
          <w:sz w:val="22"/>
          <w:szCs w:val="22"/>
        </w:rPr>
        <w:t xml:space="preserve"> </w:t>
      </w:r>
      <w:r w:rsidRPr="00AE34AD">
        <w:rPr>
          <w:sz w:val="22"/>
          <w:szCs w:val="22"/>
        </w:rPr>
        <w:t xml:space="preserve">finanziaria riguardano: </w:t>
      </w:r>
    </w:p>
    <w:p w14:paraId="49AD7D68" w14:textId="77777777" w:rsidR="00AE34AD" w:rsidRDefault="00AE34AD" w:rsidP="00AE34AD">
      <w:pPr>
        <w:jc w:val="both"/>
        <w:rPr>
          <w:sz w:val="22"/>
          <w:szCs w:val="22"/>
        </w:rPr>
      </w:pPr>
      <w:r w:rsidRPr="00AE34AD">
        <w:rPr>
          <w:sz w:val="22"/>
          <w:szCs w:val="22"/>
        </w:rPr>
        <w:t>1) carenze nell’implementazione di un adeguato sistema sanzionatorio (RC 1)</w:t>
      </w:r>
      <w:r>
        <w:rPr>
          <w:sz w:val="22"/>
          <w:szCs w:val="22"/>
        </w:rPr>
        <w:t>;</w:t>
      </w:r>
    </w:p>
    <w:p w14:paraId="2D0883D1" w14:textId="77777777" w:rsidR="00AE34AD" w:rsidRDefault="00AE34AD" w:rsidP="00AE34AD">
      <w:pPr>
        <w:jc w:val="both"/>
        <w:rPr>
          <w:sz w:val="22"/>
          <w:szCs w:val="22"/>
        </w:rPr>
      </w:pPr>
      <w:r w:rsidRPr="00AE34AD">
        <w:rPr>
          <w:sz w:val="22"/>
          <w:szCs w:val="22"/>
        </w:rPr>
        <w:t>2)</w:t>
      </w:r>
      <w:r>
        <w:rPr>
          <w:sz w:val="22"/>
          <w:szCs w:val="22"/>
        </w:rPr>
        <w:t xml:space="preserve"> </w:t>
      </w:r>
      <w:r w:rsidRPr="00AE34AD">
        <w:rPr>
          <w:sz w:val="22"/>
          <w:szCs w:val="22"/>
        </w:rPr>
        <w:t>problemi relativi alla corretta individuazione delle superfici dichiarate dai beneficiari (RC 7)</w:t>
      </w:r>
      <w:r>
        <w:rPr>
          <w:sz w:val="22"/>
          <w:szCs w:val="22"/>
        </w:rPr>
        <w:t>;</w:t>
      </w:r>
    </w:p>
    <w:p w14:paraId="13BC591B" w14:textId="77777777" w:rsidR="00AE34AD" w:rsidRDefault="00AE34AD" w:rsidP="00AE34AD">
      <w:pPr>
        <w:jc w:val="both"/>
        <w:rPr>
          <w:sz w:val="22"/>
          <w:szCs w:val="22"/>
        </w:rPr>
      </w:pPr>
      <w:r>
        <w:rPr>
          <w:sz w:val="22"/>
          <w:szCs w:val="22"/>
        </w:rPr>
        <w:t xml:space="preserve">3) </w:t>
      </w:r>
      <w:r w:rsidRPr="00AE34AD">
        <w:rPr>
          <w:sz w:val="22"/>
          <w:szCs w:val="22"/>
        </w:rPr>
        <w:t>carenze dei</w:t>
      </w:r>
      <w:r>
        <w:rPr>
          <w:sz w:val="22"/>
          <w:szCs w:val="22"/>
        </w:rPr>
        <w:t xml:space="preserve"> </w:t>
      </w:r>
      <w:r w:rsidRPr="00AE34AD">
        <w:rPr>
          <w:sz w:val="22"/>
          <w:szCs w:val="22"/>
        </w:rPr>
        <w:t>controlli sulla ragionevolezza dei costi (RC 10)</w:t>
      </w:r>
      <w:r>
        <w:rPr>
          <w:sz w:val="22"/>
          <w:szCs w:val="22"/>
        </w:rPr>
        <w:t>;</w:t>
      </w:r>
    </w:p>
    <w:p w14:paraId="568BFD52" w14:textId="77777777" w:rsidR="00AE34AD" w:rsidRDefault="00AE34AD" w:rsidP="00AE34AD">
      <w:pPr>
        <w:jc w:val="both"/>
        <w:rPr>
          <w:sz w:val="22"/>
          <w:szCs w:val="22"/>
        </w:rPr>
      </w:pPr>
      <w:r>
        <w:rPr>
          <w:sz w:val="22"/>
          <w:szCs w:val="22"/>
        </w:rPr>
        <w:t xml:space="preserve">4) </w:t>
      </w:r>
      <w:r w:rsidRPr="00AE34AD">
        <w:rPr>
          <w:sz w:val="22"/>
          <w:szCs w:val="22"/>
        </w:rPr>
        <w:t>mancanza di conformità nel rispetto delle normative degli</w:t>
      </w:r>
      <w:r>
        <w:rPr>
          <w:sz w:val="22"/>
          <w:szCs w:val="22"/>
        </w:rPr>
        <w:t xml:space="preserve"> </w:t>
      </w:r>
      <w:r w:rsidRPr="00AE34AD">
        <w:rPr>
          <w:sz w:val="22"/>
          <w:szCs w:val="22"/>
        </w:rPr>
        <w:t>appalti pubblici (RC 11)</w:t>
      </w:r>
      <w:r>
        <w:rPr>
          <w:sz w:val="22"/>
          <w:szCs w:val="22"/>
        </w:rPr>
        <w:t>;</w:t>
      </w:r>
      <w:r w:rsidRPr="00AE34AD">
        <w:rPr>
          <w:sz w:val="22"/>
          <w:szCs w:val="22"/>
        </w:rPr>
        <w:t xml:space="preserve"> </w:t>
      </w:r>
    </w:p>
    <w:p w14:paraId="43070A5E" w14:textId="267110C3" w:rsidR="0006792B" w:rsidRDefault="00AE34AD" w:rsidP="00AE34AD">
      <w:pPr>
        <w:jc w:val="both"/>
        <w:rPr>
          <w:sz w:val="22"/>
          <w:szCs w:val="22"/>
        </w:rPr>
      </w:pPr>
      <w:r>
        <w:rPr>
          <w:sz w:val="22"/>
          <w:szCs w:val="22"/>
        </w:rPr>
        <w:t xml:space="preserve">5) </w:t>
      </w:r>
      <w:r w:rsidRPr="00AE34AD">
        <w:rPr>
          <w:sz w:val="22"/>
          <w:szCs w:val="22"/>
        </w:rPr>
        <w:t>carenze nelle procedure di gestione e controllo delle domande (RC 12).</w:t>
      </w:r>
    </w:p>
    <w:p w14:paraId="1B73125E" w14:textId="77777777" w:rsidR="00CF1788" w:rsidRPr="00095721" w:rsidRDefault="00CF1788" w:rsidP="0006792B">
      <w:pPr>
        <w:rPr>
          <w:sz w:val="22"/>
          <w:szCs w:val="22"/>
        </w:rPr>
      </w:pPr>
    </w:p>
    <w:p w14:paraId="69621EE1" w14:textId="77777777" w:rsidR="0028726E" w:rsidRPr="00F40127" w:rsidRDefault="0028726E" w:rsidP="00CF1788">
      <w:pPr>
        <w:pStyle w:val="Titolo"/>
        <w:rPr>
          <w:b/>
          <w:bCs/>
          <w:sz w:val="16"/>
          <w:szCs w:val="16"/>
        </w:rPr>
      </w:pPr>
      <w:bookmarkStart w:id="1" w:name="_Toc96638551"/>
    </w:p>
    <w:p w14:paraId="3E972D78" w14:textId="6C03D07C" w:rsidR="005A0845" w:rsidRPr="00CF1788" w:rsidRDefault="00D540BF" w:rsidP="00CF1788">
      <w:pPr>
        <w:pStyle w:val="Titolo"/>
        <w:rPr>
          <w:b/>
          <w:bCs/>
          <w:sz w:val="36"/>
          <w:szCs w:val="36"/>
        </w:rPr>
      </w:pPr>
      <w:r w:rsidRPr="00CF1788">
        <w:rPr>
          <w:b/>
          <w:bCs/>
          <w:sz w:val="36"/>
          <w:szCs w:val="36"/>
        </w:rPr>
        <w:t>2</w:t>
      </w:r>
      <w:r w:rsidR="00591B4C" w:rsidRPr="00CF1788">
        <w:rPr>
          <w:b/>
          <w:bCs/>
          <w:sz w:val="36"/>
          <w:szCs w:val="36"/>
        </w:rPr>
        <w:t xml:space="preserve">. </w:t>
      </w:r>
      <w:r w:rsidR="00037B5A" w:rsidRPr="00CF1788">
        <w:rPr>
          <w:b/>
          <w:bCs/>
          <w:sz w:val="36"/>
          <w:szCs w:val="36"/>
        </w:rPr>
        <w:t xml:space="preserve">IL TASSO DI ERRORE NEL </w:t>
      </w:r>
      <w:r w:rsidR="00591B4C" w:rsidRPr="00CF1788">
        <w:rPr>
          <w:b/>
          <w:bCs/>
          <w:sz w:val="36"/>
          <w:szCs w:val="36"/>
        </w:rPr>
        <w:t>PSR ABRUZZO 2014-202</w:t>
      </w:r>
      <w:r w:rsidRPr="00CF1788">
        <w:rPr>
          <w:b/>
          <w:bCs/>
          <w:sz w:val="36"/>
          <w:szCs w:val="36"/>
        </w:rPr>
        <w:t>2</w:t>
      </w:r>
      <w:bookmarkEnd w:id="1"/>
    </w:p>
    <w:p w14:paraId="3B231264" w14:textId="77777777" w:rsidR="00CF1788" w:rsidRPr="00DA5975" w:rsidRDefault="00CF1788" w:rsidP="00037B5A">
      <w:pPr>
        <w:rPr>
          <w:sz w:val="18"/>
          <w:szCs w:val="18"/>
        </w:rPr>
      </w:pPr>
    </w:p>
    <w:p w14:paraId="366B7E55" w14:textId="6ED45156" w:rsidR="00762FC2" w:rsidRPr="00762FC2" w:rsidRDefault="00762FC2" w:rsidP="001B4315">
      <w:pPr>
        <w:jc w:val="both"/>
        <w:rPr>
          <w:b/>
          <w:bCs/>
          <w:sz w:val="22"/>
          <w:szCs w:val="22"/>
        </w:rPr>
      </w:pPr>
      <w:r w:rsidRPr="00762FC2">
        <w:rPr>
          <w:b/>
          <w:bCs/>
          <w:sz w:val="22"/>
          <w:szCs w:val="22"/>
        </w:rPr>
        <w:t>2.1 PREMESSA</w:t>
      </w:r>
    </w:p>
    <w:p w14:paraId="3FFB330D" w14:textId="704CE26A" w:rsidR="0070191E" w:rsidRDefault="0070191E" w:rsidP="001B4315">
      <w:pPr>
        <w:jc w:val="both"/>
        <w:rPr>
          <w:sz w:val="22"/>
          <w:szCs w:val="22"/>
        </w:rPr>
      </w:pPr>
      <w:r>
        <w:rPr>
          <w:sz w:val="22"/>
          <w:szCs w:val="22"/>
        </w:rPr>
        <w:t>Sulla base dei</w:t>
      </w:r>
      <w:r w:rsidR="001B4315" w:rsidRPr="001B4315">
        <w:rPr>
          <w:sz w:val="22"/>
          <w:szCs w:val="22"/>
        </w:rPr>
        <w:t xml:space="preserve"> dati fornit</w:t>
      </w:r>
      <w:r w:rsidR="001B4315">
        <w:rPr>
          <w:sz w:val="22"/>
          <w:szCs w:val="22"/>
        </w:rPr>
        <w:t>i da</w:t>
      </w:r>
      <w:r w:rsidR="001B4315" w:rsidRPr="001B4315">
        <w:rPr>
          <w:sz w:val="22"/>
          <w:szCs w:val="22"/>
        </w:rPr>
        <w:t xml:space="preserve"> Agea</w:t>
      </w:r>
      <w:r w:rsidR="006A5245">
        <w:rPr>
          <w:sz w:val="22"/>
          <w:szCs w:val="22"/>
        </w:rPr>
        <w:t>,</w:t>
      </w:r>
      <w:r>
        <w:rPr>
          <w:sz w:val="22"/>
          <w:szCs w:val="22"/>
        </w:rPr>
        <w:t xml:space="preserve"> </w:t>
      </w:r>
      <w:r w:rsidR="006A5245" w:rsidRPr="001B4315">
        <w:rPr>
          <w:sz w:val="22"/>
          <w:szCs w:val="22"/>
        </w:rPr>
        <w:t xml:space="preserve">la </w:t>
      </w:r>
      <w:r w:rsidR="006A5245">
        <w:rPr>
          <w:sz w:val="22"/>
          <w:szCs w:val="22"/>
        </w:rPr>
        <w:t>R</w:t>
      </w:r>
      <w:r w:rsidR="006A5245" w:rsidRPr="001B4315">
        <w:rPr>
          <w:sz w:val="22"/>
          <w:szCs w:val="22"/>
        </w:rPr>
        <w:t xml:space="preserve">egione </w:t>
      </w:r>
      <w:r w:rsidR="006A5245">
        <w:rPr>
          <w:sz w:val="22"/>
          <w:szCs w:val="22"/>
        </w:rPr>
        <w:t>Abruzzo,</w:t>
      </w:r>
      <w:r w:rsidR="006A5245" w:rsidRPr="001B4315">
        <w:rPr>
          <w:sz w:val="22"/>
          <w:szCs w:val="22"/>
        </w:rPr>
        <w:t xml:space="preserve"> </w:t>
      </w:r>
      <w:r w:rsidR="00015EAD" w:rsidRPr="00015EAD">
        <w:rPr>
          <w:sz w:val="22"/>
          <w:szCs w:val="22"/>
          <w:u w:val="single"/>
        </w:rPr>
        <w:t>alla data del 15 luglio 202</w:t>
      </w:r>
      <w:r w:rsidR="009560F0">
        <w:rPr>
          <w:sz w:val="22"/>
          <w:szCs w:val="22"/>
          <w:u w:val="single"/>
        </w:rPr>
        <w:t>4 (riferito all’annualità 2023)</w:t>
      </w:r>
      <w:r w:rsidR="00015EAD">
        <w:rPr>
          <w:sz w:val="22"/>
          <w:szCs w:val="22"/>
        </w:rPr>
        <w:t xml:space="preserve">, </w:t>
      </w:r>
      <w:r>
        <w:rPr>
          <w:sz w:val="22"/>
          <w:szCs w:val="22"/>
        </w:rPr>
        <w:t>ha registrato un tasso di errore come di seguito riportato:</w:t>
      </w:r>
    </w:p>
    <w:p w14:paraId="419DE490" w14:textId="1768847C" w:rsidR="006A5245" w:rsidRDefault="0070191E" w:rsidP="001B4315">
      <w:pPr>
        <w:jc w:val="both"/>
        <w:rPr>
          <w:sz w:val="22"/>
          <w:szCs w:val="22"/>
        </w:rPr>
      </w:pPr>
      <w:r>
        <w:rPr>
          <w:sz w:val="22"/>
          <w:szCs w:val="22"/>
        </w:rPr>
        <w:t xml:space="preserve">- </w:t>
      </w:r>
      <w:r w:rsidR="006A5245">
        <w:rPr>
          <w:sz w:val="22"/>
          <w:szCs w:val="22"/>
        </w:rPr>
        <w:t>FEASR SIGC (</w:t>
      </w:r>
      <w:r w:rsidR="001B4315" w:rsidRPr="006B62FC">
        <w:rPr>
          <w:b/>
          <w:bCs/>
          <w:sz w:val="22"/>
          <w:szCs w:val="22"/>
        </w:rPr>
        <w:t>misure a superficie</w:t>
      </w:r>
      <w:r w:rsidR="002C6B70">
        <w:rPr>
          <w:b/>
          <w:bCs/>
          <w:sz w:val="22"/>
          <w:szCs w:val="22"/>
        </w:rPr>
        <w:t xml:space="preserve"> e a capo</w:t>
      </w:r>
      <w:r w:rsidR="006A5245">
        <w:rPr>
          <w:b/>
          <w:bCs/>
          <w:sz w:val="22"/>
          <w:szCs w:val="22"/>
        </w:rPr>
        <w:t>)</w:t>
      </w:r>
      <w:r w:rsidR="006A5245">
        <w:rPr>
          <w:sz w:val="22"/>
          <w:szCs w:val="22"/>
        </w:rPr>
        <w:t xml:space="preserve">: </w:t>
      </w:r>
      <w:r w:rsidR="009560F0">
        <w:rPr>
          <w:b/>
          <w:sz w:val="22"/>
          <w:szCs w:val="22"/>
        </w:rPr>
        <w:t>1,64</w:t>
      </w:r>
      <w:r w:rsidR="008E1DAC" w:rsidRPr="008E1DAC">
        <w:rPr>
          <w:b/>
          <w:sz w:val="22"/>
          <w:szCs w:val="22"/>
        </w:rPr>
        <w:t>%</w:t>
      </w:r>
    </w:p>
    <w:p w14:paraId="1C3DAE45" w14:textId="265636CA" w:rsidR="00037B5A" w:rsidRPr="001B4315" w:rsidRDefault="006A5245" w:rsidP="001B4315">
      <w:pPr>
        <w:jc w:val="both"/>
        <w:rPr>
          <w:sz w:val="22"/>
          <w:szCs w:val="22"/>
        </w:rPr>
      </w:pPr>
      <w:r>
        <w:rPr>
          <w:sz w:val="22"/>
          <w:szCs w:val="22"/>
        </w:rPr>
        <w:t>- FEASR NO SIGC (</w:t>
      </w:r>
      <w:r w:rsidR="001B4315" w:rsidRPr="006B62FC">
        <w:rPr>
          <w:b/>
          <w:bCs/>
          <w:sz w:val="22"/>
          <w:szCs w:val="22"/>
        </w:rPr>
        <w:t>misure ad investimento</w:t>
      </w:r>
      <w:r w:rsidR="00E72A15">
        <w:rPr>
          <w:b/>
          <w:bCs/>
          <w:sz w:val="22"/>
          <w:szCs w:val="22"/>
        </w:rPr>
        <w:t xml:space="preserve"> o strutturali</w:t>
      </w:r>
      <w:r>
        <w:rPr>
          <w:b/>
          <w:bCs/>
          <w:sz w:val="22"/>
          <w:szCs w:val="22"/>
        </w:rPr>
        <w:t>):</w:t>
      </w:r>
      <w:r w:rsidR="001B4315">
        <w:rPr>
          <w:sz w:val="22"/>
          <w:szCs w:val="22"/>
        </w:rPr>
        <w:t xml:space="preserve"> </w:t>
      </w:r>
      <w:r w:rsidR="00476DE1" w:rsidRPr="00476DE1">
        <w:rPr>
          <w:b/>
          <w:bCs/>
          <w:sz w:val="22"/>
          <w:szCs w:val="22"/>
        </w:rPr>
        <w:t>0,7</w:t>
      </w:r>
      <w:r w:rsidR="001B4315" w:rsidRPr="00476DE1">
        <w:rPr>
          <w:b/>
          <w:bCs/>
          <w:sz w:val="22"/>
          <w:szCs w:val="22"/>
        </w:rPr>
        <w:t>%.</w:t>
      </w:r>
    </w:p>
    <w:p w14:paraId="29F5B7CA" w14:textId="06806FAD" w:rsidR="00162B67" w:rsidRDefault="00162B67" w:rsidP="0087323D">
      <w:pPr>
        <w:jc w:val="both"/>
        <w:rPr>
          <w:sz w:val="22"/>
          <w:szCs w:val="22"/>
        </w:rPr>
      </w:pPr>
    </w:p>
    <w:p w14:paraId="2D5B5058" w14:textId="30C89CAE" w:rsidR="000446E2" w:rsidRDefault="00730DC4" w:rsidP="002E069F">
      <w:pPr>
        <w:jc w:val="both"/>
        <w:rPr>
          <w:sz w:val="22"/>
          <w:szCs w:val="22"/>
        </w:rPr>
      </w:pPr>
      <w:r w:rsidRPr="000446E2">
        <w:rPr>
          <w:sz w:val="22"/>
          <w:szCs w:val="22"/>
        </w:rPr>
        <w:t xml:space="preserve">Per quanto riguarda l’ambito FEASR-SIGC, ovvero l’insieme delle misure a premio, </w:t>
      </w:r>
      <w:r w:rsidR="00AE6CFE" w:rsidRPr="000446E2">
        <w:rPr>
          <w:sz w:val="22"/>
          <w:szCs w:val="22"/>
        </w:rPr>
        <w:t>l’annualità</w:t>
      </w:r>
      <w:r w:rsidR="0087323D" w:rsidRPr="000446E2">
        <w:rPr>
          <w:sz w:val="22"/>
          <w:szCs w:val="22"/>
        </w:rPr>
        <w:t xml:space="preserve"> </w:t>
      </w:r>
      <w:r w:rsidR="003D67E9">
        <w:rPr>
          <w:sz w:val="22"/>
          <w:szCs w:val="22"/>
        </w:rPr>
        <w:t>2023</w:t>
      </w:r>
      <w:r w:rsidR="0087323D" w:rsidRPr="000446E2">
        <w:rPr>
          <w:sz w:val="22"/>
          <w:szCs w:val="22"/>
        </w:rPr>
        <w:t xml:space="preserve"> </w:t>
      </w:r>
      <w:r w:rsidR="003D67E9">
        <w:rPr>
          <w:sz w:val="22"/>
          <w:szCs w:val="22"/>
        </w:rPr>
        <w:t>ha registrato un</w:t>
      </w:r>
      <w:r w:rsidR="00260A19">
        <w:rPr>
          <w:sz w:val="22"/>
          <w:szCs w:val="22"/>
        </w:rPr>
        <w:t xml:space="preserve"> </w:t>
      </w:r>
      <w:r w:rsidR="003D67E9">
        <w:rPr>
          <w:sz w:val="22"/>
          <w:szCs w:val="22"/>
        </w:rPr>
        <w:t xml:space="preserve">tasso di errore </w:t>
      </w:r>
      <w:r w:rsidR="00260A19">
        <w:rPr>
          <w:sz w:val="22"/>
          <w:szCs w:val="22"/>
        </w:rPr>
        <w:t xml:space="preserve">dell’1,64% </w:t>
      </w:r>
      <w:r w:rsidR="00121F20">
        <w:rPr>
          <w:sz w:val="22"/>
          <w:szCs w:val="22"/>
        </w:rPr>
        <w:t xml:space="preserve">al di </w:t>
      </w:r>
      <w:r w:rsidR="00260A19">
        <w:rPr>
          <w:sz w:val="22"/>
          <w:szCs w:val="22"/>
        </w:rPr>
        <w:t xml:space="preserve">sotto </w:t>
      </w:r>
      <w:r w:rsidR="00121F20">
        <w:rPr>
          <w:sz w:val="22"/>
          <w:szCs w:val="22"/>
        </w:rPr>
        <w:t>del</w:t>
      </w:r>
      <w:r w:rsidR="00260A19">
        <w:rPr>
          <w:sz w:val="22"/>
          <w:szCs w:val="22"/>
        </w:rPr>
        <w:t xml:space="preserve">la soglia del 2% superata bensì nell’annualità 2022 </w:t>
      </w:r>
      <w:r w:rsidR="003D67E9">
        <w:rPr>
          <w:sz w:val="22"/>
          <w:szCs w:val="22"/>
        </w:rPr>
        <w:t xml:space="preserve">a seguito di un taglio di spesa </w:t>
      </w:r>
      <w:r w:rsidR="002E069F" w:rsidRPr="002E069F">
        <w:rPr>
          <w:sz w:val="22"/>
          <w:szCs w:val="22"/>
        </w:rPr>
        <w:t>da part</w:t>
      </w:r>
      <w:r w:rsidR="00B51401">
        <w:rPr>
          <w:sz w:val="22"/>
          <w:szCs w:val="22"/>
        </w:rPr>
        <w:t>e di AGEA di circa 4</w:t>
      </w:r>
      <w:r w:rsidR="002E069F">
        <w:rPr>
          <w:sz w:val="22"/>
          <w:szCs w:val="22"/>
        </w:rPr>
        <w:t xml:space="preserve"> mi</w:t>
      </w:r>
      <w:r w:rsidR="00496CA0">
        <w:rPr>
          <w:sz w:val="22"/>
          <w:szCs w:val="22"/>
        </w:rPr>
        <w:t>la euro</w:t>
      </w:r>
      <w:r w:rsidR="003D67E9">
        <w:rPr>
          <w:sz w:val="22"/>
          <w:szCs w:val="22"/>
        </w:rPr>
        <w:t xml:space="preserve"> alla Misura 11 (agricoltura biologica). </w:t>
      </w:r>
      <w:r w:rsidR="000F6E0B">
        <w:rPr>
          <w:sz w:val="22"/>
          <w:szCs w:val="22"/>
        </w:rPr>
        <w:t>La tabella 2 riporta i dati così come trasmessi da AGEA.</w:t>
      </w:r>
    </w:p>
    <w:p w14:paraId="4BB1A79B" w14:textId="3C62461C" w:rsidR="00A9052C" w:rsidRPr="00E87948" w:rsidRDefault="00A9052C" w:rsidP="001B4E48">
      <w:pPr>
        <w:jc w:val="both"/>
        <w:rPr>
          <w:sz w:val="20"/>
          <w:szCs w:val="20"/>
        </w:rPr>
      </w:pPr>
    </w:p>
    <w:p w14:paraId="21287A3D" w14:textId="3F0F919F" w:rsidR="00E87948" w:rsidRPr="00A34167" w:rsidRDefault="00E87948" w:rsidP="001B4E48">
      <w:pPr>
        <w:jc w:val="both"/>
        <w:rPr>
          <w:b/>
          <w:i/>
          <w:sz w:val="18"/>
          <w:szCs w:val="18"/>
        </w:rPr>
      </w:pPr>
      <w:r w:rsidRPr="00E87948">
        <w:rPr>
          <w:b/>
          <w:bCs/>
          <w:sz w:val="18"/>
          <w:szCs w:val="18"/>
        </w:rPr>
        <w:t>Tab.</w:t>
      </w:r>
      <w:r>
        <w:rPr>
          <w:b/>
          <w:bCs/>
          <w:sz w:val="18"/>
          <w:szCs w:val="18"/>
        </w:rPr>
        <w:t xml:space="preserve"> 2</w:t>
      </w:r>
      <w:r w:rsidRPr="00E87948">
        <w:rPr>
          <w:b/>
          <w:bCs/>
          <w:sz w:val="18"/>
          <w:szCs w:val="18"/>
        </w:rPr>
        <w:t xml:space="preserve"> </w:t>
      </w:r>
      <w:r w:rsidR="00E72A15" w:rsidRPr="00A34167">
        <w:rPr>
          <w:b/>
          <w:i/>
          <w:sz w:val="18"/>
          <w:szCs w:val="18"/>
        </w:rPr>
        <w:t>Tasso di errore</w:t>
      </w:r>
      <w:r w:rsidRPr="00A34167">
        <w:rPr>
          <w:b/>
          <w:i/>
          <w:sz w:val="18"/>
          <w:szCs w:val="18"/>
        </w:rPr>
        <w:t xml:space="preserve"> FEASR SIGC </w:t>
      </w:r>
      <w:r w:rsidR="00E72A15" w:rsidRPr="00A34167">
        <w:rPr>
          <w:b/>
          <w:i/>
          <w:sz w:val="18"/>
          <w:szCs w:val="18"/>
        </w:rPr>
        <w:t xml:space="preserve">- </w:t>
      </w:r>
      <w:r w:rsidR="003C42DE" w:rsidRPr="00A34167">
        <w:rPr>
          <w:b/>
          <w:i/>
          <w:sz w:val="18"/>
          <w:szCs w:val="18"/>
        </w:rPr>
        <w:t>PSR Abruzzo</w:t>
      </w:r>
      <w:r w:rsidR="00697EE0" w:rsidRPr="00A34167">
        <w:rPr>
          <w:b/>
          <w:i/>
          <w:sz w:val="18"/>
          <w:szCs w:val="18"/>
        </w:rPr>
        <w:t xml:space="preserve"> 2014-2022</w:t>
      </w:r>
      <w:r w:rsidR="003C42DE" w:rsidRPr="00A34167">
        <w:rPr>
          <w:b/>
          <w:i/>
          <w:sz w:val="18"/>
          <w:szCs w:val="18"/>
        </w:rPr>
        <w:t xml:space="preserve"> </w:t>
      </w:r>
      <w:r w:rsidRPr="00A34167">
        <w:rPr>
          <w:b/>
          <w:i/>
          <w:sz w:val="18"/>
          <w:szCs w:val="18"/>
        </w:rPr>
        <w:t>annualità 202</w:t>
      </w:r>
      <w:r w:rsidR="00260A19" w:rsidRPr="00A34167">
        <w:rPr>
          <w:b/>
          <w:i/>
          <w:sz w:val="18"/>
          <w:szCs w:val="18"/>
        </w:rPr>
        <w:t>3</w:t>
      </w:r>
      <w:r w:rsidR="00B232F2" w:rsidRPr="00A34167">
        <w:rPr>
          <w:b/>
          <w:i/>
          <w:sz w:val="18"/>
          <w:szCs w:val="18"/>
        </w:rPr>
        <w:t xml:space="preserve"> (dati forniti da AGEA)</w:t>
      </w:r>
    </w:p>
    <w:p w14:paraId="01D84F83" w14:textId="76B32E68" w:rsidR="00D822F9" w:rsidRPr="00D822F9" w:rsidRDefault="00D822F9" w:rsidP="001B4E48">
      <w:pPr>
        <w:jc w:val="both"/>
        <w:rPr>
          <w:rFonts w:asciiTheme="minorHAnsi" w:eastAsiaTheme="minorHAnsi" w:hAnsiTheme="minorHAnsi" w:cstheme="minorBidi"/>
          <w:sz w:val="10"/>
          <w:szCs w:val="22"/>
          <w:lang w:eastAsia="en-US"/>
        </w:rPr>
      </w:pPr>
    </w:p>
    <w:tbl>
      <w:tblPr>
        <w:tblW w:w="9463" w:type="dxa"/>
        <w:tblCellMar>
          <w:left w:w="70" w:type="dxa"/>
          <w:right w:w="70" w:type="dxa"/>
        </w:tblCellMar>
        <w:tblLook w:val="04A0" w:firstRow="1" w:lastRow="0" w:firstColumn="1" w:lastColumn="0" w:noHBand="0" w:noVBand="1"/>
      </w:tblPr>
      <w:tblGrid>
        <w:gridCol w:w="1271"/>
        <w:gridCol w:w="1418"/>
        <w:gridCol w:w="1417"/>
        <w:gridCol w:w="1527"/>
        <w:gridCol w:w="2159"/>
        <w:gridCol w:w="1671"/>
      </w:tblGrid>
      <w:tr w:rsidR="00260A19" w:rsidRPr="00A34167" w14:paraId="4BFF57FD" w14:textId="77777777" w:rsidTr="00A34167">
        <w:trPr>
          <w:trHeight w:val="20"/>
        </w:trPr>
        <w:tc>
          <w:tcPr>
            <w:tcW w:w="9463" w:type="dxa"/>
            <w:gridSpan w:val="6"/>
            <w:tcBorders>
              <w:top w:val="single" w:sz="4" w:space="0" w:color="auto"/>
              <w:left w:val="single" w:sz="4" w:space="0" w:color="auto"/>
              <w:bottom w:val="single" w:sz="4" w:space="0" w:color="auto"/>
              <w:right w:val="single" w:sz="4" w:space="0" w:color="auto"/>
            </w:tcBorders>
            <w:shd w:val="clear" w:color="000000" w:fill="F2CEEF"/>
            <w:noWrap/>
            <w:vAlign w:val="bottom"/>
            <w:hideMark/>
          </w:tcPr>
          <w:p w14:paraId="4853A575" w14:textId="77777777" w:rsidR="00260A19" w:rsidRPr="00A34167" w:rsidRDefault="00260A19">
            <w:pPr>
              <w:jc w:val="center"/>
              <w:rPr>
                <w:b/>
                <w:bCs/>
                <w:color w:val="000000"/>
                <w:sz w:val="20"/>
                <w:szCs w:val="22"/>
              </w:rPr>
            </w:pPr>
            <w:r w:rsidRPr="00A34167">
              <w:rPr>
                <w:b/>
                <w:bCs/>
                <w:color w:val="000000"/>
                <w:sz w:val="20"/>
                <w:szCs w:val="22"/>
              </w:rPr>
              <w:t>STAT. ART. 9 REG. UE 809/2014 - DATI al 15/07/2024 - INVIO ALLA COMMISSIONE</w:t>
            </w:r>
          </w:p>
        </w:tc>
      </w:tr>
      <w:tr w:rsidR="00260A19" w:rsidRPr="00A34167" w14:paraId="52660CDB" w14:textId="77777777" w:rsidTr="00A34167">
        <w:trPr>
          <w:trHeight w:val="20"/>
        </w:trPr>
        <w:tc>
          <w:tcPr>
            <w:tcW w:w="1271" w:type="dxa"/>
            <w:tcBorders>
              <w:top w:val="nil"/>
              <w:left w:val="single" w:sz="4" w:space="0" w:color="auto"/>
              <w:bottom w:val="single" w:sz="4" w:space="0" w:color="auto"/>
              <w:right w:val="single" w:sz="4" w:space="0" w:color="auto"/>
            </w:tcBorders>
            <w:shd w:val="clear" w:color="000000" w:fill="A6C9EC"/>
            <w:vAlign w:val="center"/>
            <w:hideMark/>
          </w:tcPr>
          <w:p w14:paraId="1DDF60A0" w14:textId="77777777" w:rsidR="00260A19" w:rsidRPr="00A34167" w:rsidRDefault="00260A19" w:rsidP="00A34167">
            <w:pPr>
              <w:jc w:val="center"/>
              <w:rPr>
                <w:b/>
                <w:bCs/>
                <w:color w:val="000000"/>
                <w:sz w:val="20"/>
                <w:szCs w:val="20"/>
              </w:rPr>
            </w:pPr>
            <w:r w:rsidRPr="00A34167">
              <w:rPr>
                <w:b/>
                <w:bCs/>
                <w:color w:val="000000"/>
                <w:sz w:val="20"/>
                <w:szCs w:val="20"/>
              </w:rPr>
              <w:t>REGIONE/</w:t>
            </w:r>
            <w:r w:rsidRPr="00A34167">
              <w:rPr>
                <w:b/>
                <w:bCs/>
                <w:color w:val="000000"/>
                <w:sz w:val="20"/>
                <w:szCs w:val="20"/>
              </w:rPr>
              <w:br/>
              <w:t>MISURA</w:t>
            </w:r>
          </w:p>
        </w:tc>
        <w:tc>
          <w:tcPr>
            <w:tcW w:w="1418" w:type="dxa"/>
            <w:tcBorders>
              <w:top w:val="nil"/>
              <w:left w:val="nil"/>
              <w:bottom w:val="single" w:sz="4" w:space="0" w:color="auto"/>
              <w:right w:val="single" w:sz="4" w:space="0" w:color="auto"/>
            </w:tcBorders>
            <w:shd w:val="clear" w:color="000000" w:fill="A6C9EC"/>
            <w:vAlign w:val="center"/>
            <w:hideMark/>
          </w:tcPr>
          <w:p w14:paraId="1D8A9A31" w14:textId="6A7CD42B" w:rsidR="00260A19" w:rsidRPr="00A34167" w:rsidRDefault="00260A19" w:rsidP="00A34167">
            <w:pPr>
              <w:jc w:val="center"/>
              <w:rPr>
                <w:b/>
                <w:bCs/>
                <w:color w:val="000000"/>
                <w:sz w:val="20"/>
                <w:szCs w:val="20"/>
              </w:rPr>
            </w:pPr>
            <w:r w:rsidRPr="00A34167">
              <w:rPr>
                <w:b/>
                <w:bCs/>
                <w:color w:val="000000"/>
                <w:sz w:val="20"/>
                <w:szCs w:val="20"/>
              </w:rPr>
              <w:t>DOMANDE</w:t>
            </w:r>
            <w:r w:rsidRPr="00A34167">
              <w:rPr>
                <w:b/>
                <w:bCs/>
                <w:color w:val="000000"/>
                <w:sz w:val="20"/>
                <w:szCs w:val="20"/>
              </w:rPr>
              <w:br/>
              <w:t>CAMPIONE CASUALE</w:t>
            </w:r>
          </w:p>
        </w:tc>
        <w:tc>
          <w:tcPr>
            <w:tcW w:w="1417" w:type="dxa"/>
            <w:tcBorders>
              <w:top w:val="single" w:sz="4" w:space="0" w:color="auto"/>
              <w:left w:val="nil"/>
              <w:bottom w:val="single" w:sz="4" w:space="0" w:color="auto"/>
              <w:right w:val="single" w:sz="4" w:space="0" w:color="auto"/>
            </w:tcBorders>
            <w:shd w:val="clear" w:color="000000" w:fill="A6C9EC"/>
            <w:vAlign w:val="center"/>
            <w:hideMark/>
          </w:tcPr>
          <w:p w14:paraId="694A08E3" w14:textId="43AB9B48" w:rsidR="00260A19" w:rsidRPr="00A34167" w:rsidRDefault="00260A19" w:rsidP="00A34167">
            <w:pPr>
              <w:jc w:val="center"/>
              <w:rPr>
                <w:b/>
                <w:bCs/>
                <w:color w:val="000000"/>
                <w:sz w:val="20"/>
                <w:szCs w:val="20"/>
              </w:rPr>
            </w:pPr>
            <w:r w:rsidRPr="00A34167">
              <w:rPr>
                <w:b/>
                <w:bCs/>
                <w:color w:val="000000"/>
                <w:sz w:val="20"/>
                <w:szCs w:val="20"/>
              </w:rPr>
              <w:t>IMPORTO RICHIESTO</w:t>
            </w:r>
          </w:p>
        </w:tc>
        <w:tc>
          <w:tcPr>
            <w:tcW w:w="1527" w:type="dxa"/>
            <w:tcBorders>
              <w:top w:val="single" w:sz="4" w:space="0" w:color="auto"/>
              <w:left w:val="nil"/>
              <w:bottom w:val="single" w:sz="4" w:space="0" w:color="auto"/>
              <w:right w:val="single" w:sz="4" w:space="0" w:color="auto"/>
            </w:tcBorders>
            <w:shd w:val="clear" w:color="000000" w:fill="A6C9EC"/>
            <w:vAlign w:val="center"/>
            <w:hideMark/>
          </w:tcPr>
          <w:p w14:paraId="5843EA6B" w14:textId="6EA5411B" w:rsidR="00260A19" w:rsidRPr="00A34167" w:rsidRDefault="00260A19" w:rsidP="00A34167">
            <w:pPr>
              <w:jc w:val="center"/>
              <w:rPr>
                <w:b/>
                <w:bCs/>
                <w:color w:val="000000"/>
                <w:sz w:val="20"/>
                <w:szCs w:val="20"/>
              </w:rPr>
            </w:pPr>
            <w:r w:rsidRPr="00A34167">
              <w:rPr>
                <w:b/>
                <w:bCs/>
                <w:color w:val="000000"/>
                <w:sz w:val="20"/>
                <w:szCs w:val="20"/>
              </w:rPr>
              <w:t>IMPORTO RIDUZIONI ART. 19 - ART. 31</w:t>
            </w:r>
          </w:p>
        </w:tc>
        <w:tc>
          <w:tcPr>
            <w:tcW w:w="2159" w:type="dxa"/>
            <w:tcBorders>
              <w:top w:val="single" w:sz="4" w:space="0" w:color="auto"/>
              <w:left w:val="nil"/>
              <w:bottom w:val="single" w:sz="4" w:space="0" w:color="auto"/>
              <w:right w:val="single" w:sz="4" w:space="0" w:color="auto"/>
            </w:tcBorders>
            <w:shd w:val="clear" w:color="000000" w:fill="A6C9EC"/>
            <w:vAlign w:val="center"/>
            <w:hideMark/>
          </w:tcPr>
          <w:p w14:paraId="4084F1AC" w14:textId="560BDDB3" w:rsidR="00260A19" w:rsidRPr="00A34167" w:rsidRDefault="00260A19" w:rsidP="00A34167">
            <w:pPr>
              <w:jc w:val="center"/>
              <w:rPr>
                <w:b/>
                <w:bCs/>
                <w:color w:val="000000"/>
                <w:sz w:val="20"/>
                <w:szCs w:val="20"/>
              </w:rPr>
            </w:pPr>
            <w:r w:rsidRPr="00A34167">
              <w:rPr>
                <w:b/>
                <w:bCs/>
                <w:color w:val="000000"/>
                <w:sz w:val="20"/>
                <w:szCs w:val="20"/>
              </w:rPr>
              <w:t>IMPORTO RIDUZIONI IMPEGNI E ALTRO - ART. 35</w:t>
            </w:r>
          </w:p>
        </w:tc>
        <w:tc>
          <w:tcPr>
            <w:tcW w:w="1671" w:type="dxa"/>
            <w:tcBorders>
              <w:top w:val="single" w:sz="4" w:space="0" w:color="auto"/>
              <w:left w:val="nil"/>
              <w:bottom w:val="single" w:sz="4" w:space="0" w:color="auto"/>
              <w:right w:val="single" w:sz="4" w:space="0" w:color="auto"/>
            </w:tcBorders>
            <w:shd w:val="clear" w:color="000000" w:fill="A6C9EC"/>
            <w:vAlign w:val="center"/>
            <w:hideMark/>
          </w:tcPr>
          <w:p w14:paraId="4738356A" w14:textId="77777777" w:rsidR="00260A19" w:rsidRPr="00A34167" w:rsidRDefault="00260A19" w:rsidP="00A34167">
            <w:pPr>
              <w:jc w:val="center"/>
              <w:rPr>
                <w:b/>
                <w:bCs/>
                <w:color w:val="000000"/>
                <w:sz w:val="20"/>
                <w:szCs w:val="20"/>
              </w:rPr>
            </w:pPr>
            <w:r w:rsidRPr="00A34167">
              <w:rPr>
                <w:b/>
                <w:bCs/>
                <w:color w:val="000000"/>
                <w:sz w:val="20"/>
                <w:szCs w:val="20"/>
              </w:rPr>
              <w:t>TASSO ERRORE</w:t>
            </w:r>
          </w:p>
        </w:tc>
      </w:tr>
      <w:tr w:rsidR="00260A19" w:rsidRPr="00A34167" w14:paraId="34AC1FA9" w14:textId="77777777" w:rsidTr="00A34167">
        <w:trPr>
          <w:trHeight w:val="2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8163C" w14:textId="77777777" w:rsidR="00260A19" w:rsidRPr="00A34167" w:rsidRDefault="00260A19" w:rsidP="00A34167">
            <w:pPr>
              <w:jc w:val="right"/>
              <w:rPr>
                <w:b/>
                <w:bCs/>
                <w:color w:val="000000"/>
                <w:sz w:val="20"/>
                <w:szCs w:val="22"/>
              </w:rPr>
            </w:pPr>
            <w:r w:rsidRPr="00A34167">
              <w:rPr>
                <w:b/>
                <w:bCs/>
                <w:color w:val="000000"/>
                <w:sz w:val="20"/>
                <w:szCs w:val="22"/>
              </w:rPr>
              <w:t>ABRUZZO</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9CC1F" w14:textId="77777777" w:rsidR="00260A19" w:rsidRPr="00A34167" w:rsidRDefault="00260A19" w:rsidP="00A34167">
            <w:pPr>
              <w:jc w:val="right"/>
              <w:rPr>
                <w:b/>
                <w:bCs/>
                <w:color w:val="000000"/>
                <w:sz w:val="20"/>
                <w:szCs w:val="22"/>
              </w:rPr>
            </w:pPr>
            <w:r w:rsidRPr="00A34167">
              <w:rPr>
                <w:b/>
                <w:bCs/>
                <w:color w:val="000000"/>
                <w:sz w:val="20"/>
                <w:szCs w:val="22"/>
              </w:rPr>
              <w:t>54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89050" w14:textId="67777953" w:rsidR="00260A19" w:rsidRPr="00A34167" w:rsidRDefault="00A34167" w:rsidP="00A34167">
            <w:pPr>
              <w:rPr>
                <w:b/>
                <w:bCs/>
                <w:color w:val="000000"/>
                <w:sz w:val="20"/>
                <w:szCs w:val="22"/>
              </w:rPr>
            </w:pPr>
            <w:r>
              <w:rPr>
                <w:b/>
                <w:bCs/>
                <w:color w:val="000000"/>
                <w:sz w:val="20"/>
                <w:szCs w:val="22"/>
              </w:rPr>
              <w:t xml:space="preserve"> </w:t>
            </w:r>
            <w:r w:rsidR="00260A19" w:rsidRPr="00A34167">
              <w:rPr>
                <w:b/>
                <w:bCs/>
                <w:color w:val="000000"/>
                <w:sz w:val="20"/>
                <w:szCs w:val="22"/>
              </w:rPr>
              <w:t xml:space="preserve">      144.698,80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518BD" w14:textId="77777777" w:rsidR="00260A19" w:rsidRPr="00A34167" w:rsidRDefault="00260A19" w:rsidP="00A34167">
            <w:pPr>
              <w:jc w:val="right"/>
              <w:rPr>
                <w:b/>
                <w:bCs/>
                <w:color w:val="000000"/>
                <w:sz w:val="20"/>
                <w:szCs w:val="22"/>
              </w:rPr>
            </w:pPr>
            <w:r w:rsidRPr="00A34167">
              <w:rPr>
                <w:b/>
                <w:bCs/>
                <w:color w:val="000000"/>
                <w:sz w:val="20"/>
                <w:szCs w:val="22"/>
              </w:rPr>
              <w:t xml:space="preserve">         628,24 </w:t>
            </w: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02F608" w14:textId="77777777" w:rsidR="00260A19" w:rsidRPr="00A34167" w:rsidRDefault="00260A19" w:rsidP="00A34167">
            <w:pPr>
              <w:jc w:val="right"/>
              <w:rPr>
                <w:b/>
                <w:bCs/>
                <w:color w:val="000000"/>
                <w:sz w:val="20"/>
                <w:szCs w:val="22"/>
              </w:rPr>
            </w:pPr>
            <w:r w:rsidRPr="00A34167">
              <w:rPr>
                <w:b/>
                <w:bCs/>
                <w:color w:val="000000"/>
                <w:sz w:val="20"/>
                <w:szCs w:val="22"/>
              </w:rPr>
              <w:t xml:space="preserve">            1.745,07 </w:t>
            </w:r>
          </w:p>
        </w:tc>
        <w:tc>
          <w:tcPr>
            <w:tcW w:w="1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575FD" w14:textId="77777777" w:rsidR="00260A19" w:rsidRPr="00A34167" w:rsidRDefault="00260A19" w:rsidP="00A34167">
            <w:pPr>
              <w:jc w:val="right"/>
              <w:rPr>
                <w:b/>
                <w:bCs/>
                <w:color w:val="000000"/>
                <w:sz w:val="20"/>
                <w:szCs w:val="22"/>
              </w:rPr>
            </w:pPr>
            <w:r w:rsidRPr="00A34167">
              <w:rPr>
                <w:b/>
                <w:bCs/>
                <w:color w:val="000000"/>
                <w:sz w:val="20"/>
                <w:szCs w:val="22"/>
              </w:rPr>
              <w:t>1,64%</w:t>
            </w:r>
          </w:p>
        </w:tc>
      </w:tr>
      <w:tr w:rsidR="00260A19" w:rsidRPr="00A34167" w14:paraId="51F9B438" w14:textId="77777777" w:rsidTr="00A34167">
        <w:trPr>
          <w:trHeight w:val="2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76B70" w14:textId="77777777" w:rsidR="00260A19" w:rsidRPr="00A34167" w:rsidRDefault="00260A19" w:rsidP="00A34167">
            <w:pPr>
              <w:jc w:val="right"/>
              <w:rPr>
                <w:color w:val="000000"/>
                <w:sz w:val="20"/>
                <w:szCs w:val="22"/>
              </w:rPr>
            </w:pPr>
            <w:r w:rsidRPr="00A34167">
              <w:rPr>
                <w:color w:val="000000"/>
                <w:sz w:val="20"/>
                <w:szCs w:val="22"/>
              </w:rPr>
              <w:t>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187BF" w14:textId="77777777" w:rsidR="00260A19" w:rsidRPr="00A34167" w:rsidRDefault="00260A19" w:rsidP="00A34167">
            <w:pPr>
              <w:jc w:val="right"/>
              <w:rPr>
                <w:color w:val="000000"/>
                <w:sz w:val="20"/>
                <w:szCs w:val="22"/>
              </w:rPr>
            </w:pPr>
            <w:r w:rsidRPr="00A34167">
              <w:rPr>
                <w:color w:val="000000"/>
                <w:sz w:val="20"/>
                <w:szCs w:val="22"/>
              </w:rPr>
              <w:t>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17EFB" w14:textId="343FCDD9" w:rsidR="00260A19" w:rsidRPr="00A34167" w:rsidRDefault="00260A19" w:rsidP="00A34167">
            <w:pPr>
              <w:jc w:val="right"/>
              <w:rPr>
                <w:color w:val="000000"/>
                <w:sz w:val="20"/>
                <w:szCs w:val="22"/>
              </w:rPr>
            </w:pPr>
            <w:r w:rsidRPr="00A34167">
              <w:rPr>
                <w:color w:val="000000"/>
                <w:sz w:val="20"/>
                <w:szCs w:val="22"/>
              </w:rPr>
              <w:t xml:space="preserve">              198,24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A13FCC" w14:textId="77777777" w:rsidR="00260A19" w:rsidRPr="00A34167" w:rsidRDefault="00260A19" w:rsidP="00A34167">
            <w:pPr>
              <w:jc w:val="right"/>
              <w:rPr>
                <w:color w:val="000000"/>
                <w:sz w:val="20"/>
                <w:szCs w:val="22"/>
              </w:rPr>
            </w:pPr>
            <w:r w:rsidRPr="00A34167">
              <w:rPr>
                <w:color w:val="000000"/>
                <w:sz w:val="20"/>
                <w:szCs w:val="22"/>
              </w:rPr>
              <w:t xml:space="preserve">                   -   </w:t>
            </w: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93C12" w14:textId="77777777" w:rsidR="00260A19" w:rsidRPr="00A34167" w:rsidRDefault="00260A19" w:rsidP="00A34167">
            <w:pPr>
              <w:jc w:val="right"/>
              <w:rPr>
                <w:color w:val="000000"/>
                <w:sz w:val="20"/>
                <w:szCs w:val="22"/>
              </w:rPr>
            </w:pPr>
            <w:r w:rsidRPr="00A34167">
              <w:rPr>
                <w:color w:val="000000"/>
                <w:sz w:val="20"/>
                <w:szCs w:val="22"/>
              </w:rPr>
              <w:t xml:space="preserve">                         -   </w:t>
            </w:r>
          </w:p>
        </w:tc>
        <w:tc>
          <w:tcPr>
            <w:tcW w:w="1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2328B" w14:textId="77777777" w:rsidR="00260A19" w:rsidRPr="00A34167" w:rsidRDefault="00260A19" w:rsidP="00A34167">
            <w:pPr>
              <w:jc w:val="right"/>
              <w:rPr>
                <w:color w:val="000000"/>
                <w:sz w:val="20"/>
                <w:szCs w:val="22"/>
              </w:rPr>
            </w:pPr>
            <w:r w:rsidRPr="00A34167">
              <w:rPr>
                <w:color w:val="000000"/>
                <w:sz w:val="20"/>
                <w:szCs w:val="22"/>
              </w:rPr>
              <w:t>0,00%</w:t>
            </w:r>
          </w:p>
        </w:tc>
      </w:tr>
      <w:tr w:rsidR="00260A19" w:rsidRPr="00A34167" w14:paraId="2A91CC8B" w14:textId="77777777" w:rsidTr="00A34167">
        <w:trPr>
          <w:trHeight w:val="2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3AB40" w14:textId="77777777" w:rsidR="00260A19" w:rsidRPr="00A34167" w:rsidRDefault="00260A19" w:rsidP="00A34167">
            <w:pPr>
              <w:jc w:val="right"/>
              <w:rPr>
                <w:color w:val="000000"/>
                <w:sz w:val="20"/>
                <w:szCs w:val="22"/>
              </w:rPr>
            </w:pPr>
            <w:r w:rsidRPr="00A34167">
              <w:rPr>
                <w:color w:val="000000"/>
                <w:sz w:val="20"/>
                <w:szCs w:val="22"/>
              </w:rPr>
              <w:t>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D9E1A" w14:textId="77777777" w:rsidR="00260A19" w:rsidRPr="00A34167" w:rsidRDefault="00260A19" w:rsidP="00A34167">
            <w:pPr>
              <w:jc w:val="right"/>
              <w:rPr>
                <w:color w:val="000000"/>
                <w:sz w:val="20"/>
                <w:szCs w:val="22"/>
              </w:rPr>
            </w:pPr>
            <w:r w:rsidRPr="00A34167">
              <w:rPr>
                <w:color w:val="000000"/>
                <w:sz w:val="20"/>
                <w:szCs w:val="22"/>
              </w:rPr>
              <w:t>29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71BFE" w14:textId="52D4EFEA" w:rsidR="00260A19" w:rsidRPr="00A34167" w:rsidRDefault="00260A19" w:rsidP="00A34167">
            <w:pPr>
              <w:jc w:val="right"/>
              <w:rPr>
                <w:color w:val="000000"/>
                <w:sz w:val="20"/>
                <w:szCs w:val="22"/>
              </w:rPr>
            </w:pPr>
            <w:r w:rsidRPr="00A34167">
              <w:rPr>
                <w:color w:val="000000"/>
                <w:sz w:val="20"/>
                <w:szCs w:val="22"/>
              </w:rPr>
              <w:t xml:space="preserve">         90.855,81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9C33B" w14:textId="77777777" w:rsidR="00260A19" w:rsidRPr="00A34167" w:rsidRDefault="00260A19" w:rsidP="00A34167">
            <w:pPr>
              <w:jc w:val="right"/>
              <w:rPr>
                <w:color w:val="000000"/>
                <w:sz w:val="20"/>
                <w:szCs w:val="22"/>
              </w:rPr>
            </w:pPr>
            <w:r w:rsidRPr="00A34167">
              <w:rPr>
                <w:color w:val="000000"/>
                <w:sz w:val="20"/>
                <w:szCs w:val="22"/>
              </w:rPr>
              <w:t xml:space="preserve">         395,49 </w:t>
            </w: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36DC0" w14:textId="77777777" w:rsidR="00260A19" w:rsidRPr="00A34167" w:rsidRDefault="00260A19" w:rsidP="00A34167">
            <w:pPr>
              <w:jc w:val="right"/>
              <w:rPr>
                <w:color w:val="000000"/>
                <w:sz w:val="20"/>
                <w:szCs w:val="22"/>
              </w:rPr>
            </w:pPr>
            <w:r w:rsidRPr="00A34167">
              <w:rPr>
                <w:color w:val="000000"/>
                <w:sz w:val="20"/>
                <w:szCs w:val="22"/>
              </w:rPr>
              <w:t xml:space="preserve">            1.360,25 </w:t>
            </w:r>
          </w:p>
        </w:tc>
        <w:tc>
          <w:tcPr>
            <w:tcW w:w="1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624E2" w14:textId="77777777" w:rsidR="00260A19" w:rsidRPr="00A34167" w:rsidRDefault="00260A19" w:rsidP="00A34167">
            <w:pPr>
              <w:jc w:val="right"/>
              <w:rPr>
                <w:color w:val="000000"/>
                <w:sz w:val="20"/>
                <w:szCs w:val="22"/>
              </w:rPr>
            </w:pPr>
            <w:r w:rsidRPr="00A34167">
              <w:rPr>
                <w:color w:val="000000"/>
                <w:sz w:val="20"/>
                <w:szCs w:val="22"/>
              </w:rPr>
              <w:t>1,93%</w:t>
            </w:r>
          </w:p>
        </w:tc>
      </w:tr>
      <w:tr w:rsidR="00260A19" w:rsidRPr="00A34167" w14:paraId="3FD2AE8F" w14:textId="77777777" w:rsidTr="00A34167">
        <w:trPr>
          <w:trHeight w:val="2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60AD30" w14:textId="77777777" w:rsidR="00260A19" w:rsidRPr="00A34167" w:rsidRDefault="00260A19" w:rsidP="00A34167">
            <w:pPr>
              <w:jc w:val="right"/>
              <w:rPr>
                <w:color w:val="000000"/>
                <w:sz w:val="20"/>
                <w:szCs w:val="22"/>
              </w:rPr>
            </w:pPr>
            <w:r w:rsidRPr="00A34167">
              <w:rPr>
                <w:color w:val="000000"/>
                <w:sz w:val="20"/>
                <w:szCs w:val="22"/>
              </w:rPr>
              <w:t>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0E939" w14:textId="77777777" w:rsidR="00260A19" w:rsidRPr="00A34167" w:rsidRDefault="00260A19" w:rsidP="00A34167">
            <w:pPr>
              <w:jc w:val="right"/>
              <w:rPr>
                <w:color w:val="000000"/>
                <w:sz w:val="20"/>
                <w:szCs w:val="22"/>
              </w:rPr>
            </w:pPr>
            <w:r w:rsidRPr="00A34167">
              <w:rPr>
                <w:color w:val="000000"/>
                <w:sz w:val="20"/>
                <w:szCs w:val="22"/>
              </w:rPr>
              <w:t>22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000EF" w14:textId="18D4E8AA" w:rsidR="00260A19" w:rsidRPr="00A34167" w:rsidRDefault="00260A19" w:rsidP="00A34167">
            <w:pPr>
              <w:jc w:val="right"/>
              <w:rPr>
                <w:color w:val="000000"/>
                <w:sz w:val="20"/>
                <w:szCs w:val="22"/>
              </w:rPr>
            </w:pPr>
            <w:r w:rsidRPr="00A34167">
              <w:rPr>
                <w:color w:val="000000"/>
                <w:sz w:val="20"/>
                <w:szCs w:val="22"/>
              </w:rPr>
              <w:t xml:space="preserve">         53.644,75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08067" w14:textId="77777777" w:rsidR="00260A19" w:rsidRPr="00A34167" w:rsidRDefault="00260A19" w:rsidP="00A34167">
            <w:pPr>
              <w:jc w:val="right"/>
              <w:rPr>
                <w:color w:val="000000"/>
                <w:sz w:val="20"/>
                <w:szCs w:val="22"/>
              </w:rPr>
            </w:pPr>
            <w:r w:rsidRPr="00A34167">
              <w:rPr>
                <w:color w:val="000000"/>
                <w:sz w:val="20"/>
                <w:szCs w:val="22"/>
              </w:rPr>
              <w:t xml:space="preserve">         232,75 </w:t>
            </w: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AD65E" w14:textId="77777777" w:rsidR="00260A19" w:rsidRPr="00A34167" w:rsidRDefault="00260A19" w:rsidP="00A34167">
            <w:pPr>
              <w:jc w:val="right"/>
              <w:rPr>
                <w:color w:val="000000"/>
                <w:sz w:val="20"/>
                <w:szCs w:val="22"/>
              </w:rPr>
            </w:pPr>
            <w:r w:rsidRPr="00A34167">
              <w:rPr>
                <w:color w:val="000000"/>
                <w:sz w:val="20"/>
                <w:szCs w:val="22"/>
              </w:rPr>
              <w:t xml:space="preserve">                384,82 </w:t>
            </w:r>
          </w:p>
        </w:tc>
        <w:tc>
          <w:tcPr>
            <w:tcW w:w="1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EC405" w14:textId="77777777" w:rsidR="00260A19" w:rsidRPr="00A34167" w:rsidRDefault="00260A19" w:rsidP="00A34167">
            <w:pPr>
              <w:jc w:val="right"/>
              <w:rPr>
                <w:color w:val="000000"/>
                <w:sz w:val="20"/>
                <w:szCs w:val="22"/>
              </w:rPr>
            </w:pPr>
            <w:r w:rsidRPr="00A34167">
              <w:rPr>
                <w:color w:val="000000"/>
                <w:sz w:val="20"/>
                <w:szCs w:val="22"/>
              </w:rPr>
              <w:t>1,15%</w:t>
            </w:r>
          </w:p>
        </w:tc>
      </w:tr>
    </w:tbl>
    <w:p w14:paraId="2B8296F7" w14:textId="77777777" w:rsidR="00260A19" w:rsidRDefault="00260A19" w:rsidP="001B4E48">
      <w:pPr>
        <w:jc w:val="both"/>
        <w:rPr>
          <w:sz w:val="22"/>
          <w:szCs w:val="22"/>
        </w:rPr>
      </w:pPr>
    </w:p>
    <w:p w14:paraId="2892F81E" w14:textId="77777777" w:rsidR="00856DED" w:rsidRDefault="00B232F2" w:rsidP="00336089">
      <w:pPr>
        <w:jc w:val="both"/>
        <w:rPr>
          <w:sz w:val="22"/>
          <w:szCs w:val="22"/>
          <w:highlight w:val="yellow"/>
        </w:rPr>
      </w:pPr>
      <w:r>
        <w:rPr>
          <w:sz w:val="22"/>
          <w:szCs w:val="22"/>
        </w:rPr>
        <w:t xml:space="preserve">Relativamente alle misure ad investimento </w:t>
      </w:r>
      <w:r w:rsidR="00CB1274">
        <w:rPr>
          <w:sz w:val="22"/>
          <w:szCs w:val="22"/>
        </w:rPr>
        <w:t>o strutturali</w:t>
      </w:r>
      <w:r w:rsidR="00697EE0">
        <w:rPr>
          <w:sz w:val="22"/>
          <w:szCs w:val="22"/>
        </w:rPr>
        <w:t xml:space="preserve"> (FEASR NO SIGC</w:t>
      </w:r>
      <w:r w:rsidR="00697EE0" w:rsidRPr="00856DED">
        <w:rPr>
          <w:sz w:val="22"/>
          <w:szCs w:val="22"/>
        </w:rPr>
        <w:t>)</w:t>
      </w:r>
      <w:r w:rsidR="00CB1274" w:rsidRPr="00856DED">
        <w:rPr>
          <w:sz w:val="22"/>
          <w:szCs w:val="22"/>
        </w:rPr>
        <w:t xml:space="preserve">, </w:t>
      </w:r>
      <w:r w:rsidR="00336089" w:rsidRPr="00856DED">
        <w:rPr>
          <w:sz w:val="22"/>
          <w:szCs w:val="22"/>
        </w:rPr>
        <w:t>il t</w:t>
      </w:r>
      <w:r w:rsidR="00856DED" w:rsidRPr="00856DED">
        <w:rPr>
          <w:sz w:val="22"/>
          <w:szCs w:val="22"/>
        </w:rPr>
        <w:t>asso di errore al 15 luglio 2024</w:t>
      </w:r>
      <w:r w:rsidR="00336089" w:rsidRPr="00856DED">
        <w:rPr>
          <w:sz w:val="22"/>
          <w:szCs w:val="22"/>
        </w:rPr>
        <w:t xml:space="preserve"> risulta </w:t>
      </w:r>
      <w:r w:rsidR="00856DED" w:rsidRPr="00856DED">
        <w:rPr>
          <w:sz w:val="22"/>
          <w:szCs w:val="22"/>
        </w:rPr>
        <w:t xml:space="preserve">dello 0,7% (Tab.3) dato dalla somma del tasso di errore casuale e a rischio. </w:t>
      </w:r>
    </w:p>
    <w:p w14:paraId="78FBDC5D" w14:textId="22C4627C" w:rsidR="00131DCE" w:rsidRDefault="00131DCE" w:rsidP="001B4E48">
      <w:pPr>
        <w:jc w:val="both"/>
        <w:rPr>
          <w:sz w:val="22"/>
          <w:szCs w:val="22"/>
        </w:rPr>
      </w:pPr>
    </w:p>
    <w:p w14:paraId="6302F999" w14:textId="44615E38" w:rsidR="00893FF5" w:rsidRDefault="00893FF5" w:rsidP="001B4E48">
      <w:pPr>
        <w:jc w:val="both"/>
        <w:rPr>
          <w:sz w:val="22"/>
          <w:szCs w:val="22"/>
        </w:rPr>
      </w:pPr>
    </w:p>
    <w:p w14:paraId="66686EF8" w14:textId="73DBD400" w:rsidR="00893FF5" w:rsidRDefault="00893FF5" w:rsidP="001B4E48">
      <w:pPr>
        <w:jc w:val="both"/>
        <w:rPr>
          <w:sz w:val="22"/>
          <w:szCs w:val="22"/>
        </w:rPr>
      </w:pPr>
    </w:p>
    <w:p w14:paraId="5360FBBC" w14:textId="4CAB5EC4" w:rsidR="00893FF5" w:rsidRDefault="00893FF5" w:rsidP="001B4E48">
      <w:pPr>
        <w:jc w:val="both"/>
        <w:rPr>
          <w:sz w:val="22"/>
          <w:szCs w:val="22"/>
        </w:rPr>
      </w:pPr>
    </w:p>
    <w:p w14:paraId="655F6FF9" w14:textId="37A0FAA5" w:rsidR="00893FF5" w:rsidRDefault="00893FF5" w:rsidP="001B4E48">
      <w:pPr>
        <w:jc w:val="both"/>
        <w:rPr>
          <w:sz w:val="22"/>
          <w:szCs w:val="22"/>
        </w:rPr>
      </w:pPr>
    </w:p>
    <w:p w14:paraId="35BC5872" w14:textId="022F9D0A" w:rsidR="00893FF5" w:rsidRDefault="00893FF5" w:rsidP="001B4E48">
      <w:pPr>
        <w:jc w:val="both"/>
        <w:rPr>
          <w:sz w:val="22"/>
          <w:szCs w:val="22"/>
        </w:rPr>
      </w:pPr>
    </w:p>
    <w:p w14:paraId="77A841BA" w14:textId="2C2D81CD" w:rsidR="00893FF5" w:rsidRDefault="00893FF5" w:rsidP="001B4E48">
      <w:pPr>
        <w:jc w:val="both"/>
        <w:rPr>
          <w:sz w:val="22"/>
          <w:szCs w:val="22"/>
        </w:rPr>
      </w:pPr>
    </w:p>
    <w:p w14:paraId="68D966EB" w14:textId="77777777" w:rsidR="00893FF5" w:rsidRDefault="00893FF5" w:rsidP="001B4E48">
      <w:pPr>
        <w:jc w:val="both"/>
        <w:rPr>
          <w:sz w:val="22"/>
          <w:szCs w:val="22"/>
        </w:rPr>
      </w:pPr>
    </w:p>
    <w:p w14:paraId="5FBB5045" w14:textId="552727C0" w:rsidR="002F0741" w:rsidRPr="006C21F2" w:rsidRDefault="006C21F2" w:rsidP="001B4E48">
      <w:pPr>
        <w:jc w:val="both"/>
        <w:rPr>
          <w:sz w:val="18"/>
          <w:szCs w:val="18"/>
        </w:rPr>
      </w:pPr>
      <w:r w:rsidRPr="00E87948">
        <w:rPr>
          <w:b/>
          <w:bCs/>
          <w:sz w:val="18"/>
          <w:szCs w:val="18"/>
        </w:rPr>
        <w:t>Tab.</w:t>
      </w:r>
      <w:r>
        <w:rPr>
          <w:b/>
          <w:bCs/>
          <w:sz w:val="18"/>
          <w:szCs w:val="18"/>
        </w:rPr>
        <w:t xml:space="preserve"> 3</w:t>
      </w:r>
      <w:r w:rsidRPr="00E87948">
        <w:rPr>
          <w:b/>
          <w:bCs/>
          <w:sz w:val="18"/>
          <w:szCs w:val="18"/>
        </w:rPr>
        <w:t xml:space="preserve"> </w:t>
      </w:r>
      <w:r>
        <w:rPr>
          <w:sz w:val="18"/>
          <w:szCs w:val="18"/>
        </w:rPr>
        <w:t>Tasso di errore</w:t>
      </w:r>
      <w:r w:rsidRPr="00E87948">
        <w:rPr>
          <w:sz w:val="18"/>
          <w:szCs w:val="18"/>
        </w:rPr>
        <w:t xml:space="preserve"> FEASR </w:t>
      </w:r>
      <w:r>
        <w:rPr>
          <w:sz w:val="18"/>
          <w:szCs w:val="18"/>
        </w:rPr>
        <w:t xml:space="preserve">NO </w:t>
      </w:r>
      <w:r w:rsidRPr="00E87948">
        <w:rPr>
          <w:sz w:val="18"/>
          <w:szCs w:val="18"/>
        </w:rPr>
        <w:t xml:space="preserve">SIGC </w:t>
      </w:r>
      <w:r>
        <w:rPr>
          <w:sz w:val="18"/>
          <w:szCs w:val="18"/>
        </w:rPr>
        <w:t>- PSR Abruzzo</w:t>
      </w:r>
      <w:r w:rsidR="00697EE0">
        <w:rPr>
          <w:sz w:val="18"/>
          <w:szCs w:val="18"/>
        </w:rPr>
        <w:t xml:space="preserve"> 2014-2022</w:t>
      </w:r>
      <w:r>
        <w:rPr>
          <w:sz w:val="18"/>
          <w:szCs w:val="18"/>
        </w:rPr>
        <w:t xml:space="preserve"> </w:t>
      </w:r>
      <w:r w:rsidRPr="00E87948">
        <w:rPr>
          <w:sz w:val="18"/>
          <w:szCs w:val="18"/>
        </w:rPr>
        <w:t>annualità 202</w:t>
      </w:r>
      <w:r w:rsidR="002F0741">
        <w:rPr>
          <w:sz w:val="18"/>
          <w:szCs w:val="18"/>
        </w:rPr>
        <w:t>3</w:t>
      </w:r>
      <w:r>
        <w:rPr>
          <w:sz w:val="18"/>
          <w:szCs w:val="18"/>
        </w:rPr>
        <w:t xml:space="preserve"> (dati forniti da AGEA)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4"/>
        <w:gridCol w:w="990"/>
        <w:gridCol w:w="731"/>
        <w:gridCol w:w="990"/>
        <w:gridCol w:w="805"/>
        <w:gridCol w:w="1065"/>
        <w:gridCol w:w="1212"/>
        <w:gridCol w:w="1065"/>
        <w:gridCol w:w="879"/>
        <w:gridCol w:w="783"/>
        <w:gridCol w:w="694"/>
      </w:tblGrid>
      <w:tr w:rsidR="002F0741" w:rsidRPr="002F0741" w14:paraId="43C4EF56" w14:textId="77777777" w:rsidTr="00893FF5">
        <w:trPr>
          <w:trHeight w:val="20"/>
        </w:trPr>
        <w:tc>
          <w:tcPr>
            <w:tcW w:w="5000" w:type="pct"/>
            <w:gridSpan w:val="11"/>
            <w:shd w:val="clear" w:color="000000" w:fill="DAF2D0"/>
            <w:noWrap/>
            <w:vAlign w:val="center"/>
            <w:hideMark/>
          </w:tcPr>
          <w:p w14:paraId="4A3A9077" w14:textId="77777777"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 xml:space="preserve">STAT. ART. 9 REG. UE 809/2014 - DATI al 15/07/2024 - INVIO ALLA COMMISSIONE - regione ABRUZZO </w:t>
            </w:r>
          </w:p>
        </w:tc>
      </w:tr>
      <w:tr w:rsidR="002F0741" w:rsidRPr="002F0741" w14:paraId="6F21792E" w14:textId="77777777" w:rsidTr="00893FF5">
        <w:trPr>
          <w:trHeight w:val="20"/>
        </w:trPr>
        <w:tc>
          <w:tcPr>
            <w:tcW w:w="214" w:type="pct"/>
            <w:shd w:val="clear" w:color="auto" w:fill="auto"/>
            <w:noWrap/>
            <w:vAlign w:val="center"/>
            <w:hideMark/>
          </w:tcPr>
          <w:p w14:paraId="751E825E" w14:textId="77777777"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 </w:t>
            </w:r>
          </w:p>
        </w:tc>
        <w:tc>
          <w:tcPr>
            <w:tcW w:w="894" w:type="pct"/>
            <w:gridSpan w:val="2"/>
            <w:shd w:val="clear" w:color="auto" w:fill="auto"/>
            <w:noWrap/>
            <w:vAlign w:val="center"/>
            <w:hideMark/>
          </w:tcPr>
          <w:p w14:paraId="2E7C3EF8" w14:textId="77777777"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CAMPIONE CASUALE</w:t>
            </w:r>
          </w:p>
        </w:tc>
        <w:tc>
          <w:tcPr>
            <w:tcW w:w="933" w:type="pct"/>
            <w:gridSpan w:val="2"/>
            <w:shd w:val="clear" w:color="auto" w:fill="auto"/>
            <w:noWrap/>
            <w:vAlign w:val="center"/>
            <w:hideMark/>
          </w:tcPr>
          <w:p w14:paraId="6F887C71" w14:textId="77777777"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CAMPIONE RISCHIO</w:t>
            </w:r>
          </w:p>
        </w:tc>
        <w:tc>
          <w:tcPr>
            <w:tcW w:w="1182" w:type="pct"/>
            <w:gridSpan w:val="2"/>
            <w:shd w:val="clear" w:color="auto" w:fill="auto"/>
            <w:noWrap/>
            <w:vAlign w:val="center"/>
            <w:hideMark/>
          </w:tcPr>
          <w:p w14:paraId="621AFEC6" w14:textId="77777777"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CONTROLLI AMMINISTRATIVI</w:t>
            </w:r>
          </w:p>
        </w:tc>
        <w:tc>
          <w:tcPr>
            <w:tcW w:w="1010" w:type="pct"/>
            <w:gridSpan w:val="2"/>
            <w:shd w:val="clear" w:color="auto" w:fill="auto"/>
            <w:noWrap/>
            <w:vAlign w:val="center"/>
            <w:hideMark/>
          </w:tcPr>
          <w:p w14:paraId="40ACD85B" w14:textId="77777777"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UNIVERSO DOMANDE</w:t>
            </w:r>
          </w:p>
        </w:tc>
        <w:tc>
          <w:tcPr>
            <w:tcW w:w="767" w:type="pct"/>
            <w:gridSpan w:val="2"/>
            <w:shd w:val="clear" w:color="auto" w:fill="auto"/>
            <w:noWrap/>
            <w:vAlign w:val="center"/>
            <w:hideMark/>
          </w:tcPr>
          <w:p w14:paraId="41F50083" w14:textId="77777777"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TASSO ERRORE</w:t>
            </w:r>
          </w:p>
        </w:tc>
      </w:tr>
      <w:tr w:rsidR="00893FF5" w:rsidRPr="002F0741" w14:paraId="2C356422" w14:textId="77777777" w:rsidTr="00893FF5">
        <w:trPr>
          <w:trHeight w:val="20"/>
        </w:trPr>
        <w:tc>
          <w:tcPr>
            <w:tcW w:w="214" w:type="pct"/>
            <w:shd w:val="clear" w:color="auto" w:fill="auto"/>
            <w:vAlign w:val="center"/>
            <w:hideMark/>
          </w:tcPr>
          <w:p w14:paraId="7232C083" w14:textId="20DD08F5"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MIS.</w:t>
            </w:r>
          </w:p>
        </w:tc>
        <w:tc>
          <w:tcPr>
            <w:tcW w:w="515" w:type="pct"/>
            <w:shd w:val="clear" w:color="auto" w:fill="auto"/>
            <w:vAlign w:val="center"/>
            <w:hideMark/>
          </w:tcPr>
          <w:p w14:paraId="20104386" w14:textId="41BE8FC5"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 xml:space="preserve"> Importo richiesto</w:t>
            </w:r>
            <w:r>
              <w:rPr>
                <w:rFonts w:ascii="Aptos Narrow" w:hAnsi="Aptos Narrow"/>
                <w:b/>
                <w:bCs/>
                <w:color w:val="000000"/>
                <w:sz w:val="14"/>
                <w:szCs w:val="22"/>
              </w:rPr>
              <w:t xml:space="preserve"> (€)</w:t>
            </w:r>
            <w:r w:rsidRPr="002F0741">
              <w:rPr>
                <w:rFonts w:ascii="Aptos Narrow" w:hAnsi="Aptos Narrow"/>
                <w:b/>
                <w:bCs/>
                <w:color w:val="000000"/>
                <w:sz w:val="14"/>
                <w:szCs w:val="22"/>
              </w:rPr>
              <w:t xml:space="preserve"> </w:t>
            </w:r>
          </w:p>
        </w:tc>
        <w:tc>
          <w:tcPr>
            <w:tcW w:w="380" w:type="pct"/>
            <w:shd w:val="clear" w:color="auto" w:fill="auto"/>
            <w:vAlign w:val="center"/>
            <w:hideMark/>
          </w:tcPr>
          <w:p w14:paraId="2AFB2EBE" w14:textId="61EF0C3C"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 xml:space="preserve">  Importo riduzione art.63 </w:t>
            </w:r>
            <w:r>
              <w:rPr>
                <w:rFonts w:ascii="Aptos Narrow" w:hAnsi="Aptos Narrow"/>
                <w:b/>
                <w:bCs/>
                <w:color w:val="000000"/>
                <w:sz w:val="14"/>
                <w:szCs w:val="22"/>
              </w:rPr>
              <w:t>(€)</w:t>
            </w:r>
            <w:r w:rsidRPr="002F0741">
              <w:rPr>
                <w:rFonts w:ascii="Aptos Narrow" w:hAnsi="Aptos Narrow"/>
                <w:b/>
                <w:bCs/>
                <w:color w:val="000000"/>
                <w:sz w:val="14"/>
                <w:szCs w:val="22"/>
              </w:rPr>
              <w:t xml:space="preserve">   </w:t>
            </w:r>
          </w:p>
        </w:tc>
        <w:tc>
          <w:tcPr>
            <w:tcW w:w="515" w:type="pct"/>
            <w:shd w:val="clear" w:color="auto" w:fill="auto"/>
            <w:vAlign w:val="center"/>
            <w:hideMark/>
          </w:tcPr>
          <w:p w14:paraId="013CF84F" w14:textId="0150292B"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 xml:space="preserve"> Importo richiesto </w:t>
            </w:r>
            <w:r>
              <w:rPr>
                <w:rFonts w:ascii="Aptos Narrow" w:hAnsi="Aptos Narrow"/>
                <w:b/>
                <w:bCs/>
                <w:color w:val="000000"/>
                <w:sz w:val="14"/>
                <w:szCs w:val="22"/>
              </w:rPr>
              <w:t>(€)</w:t>
            </w:r>
          </w:p>
        </w:tc>
        <w:tc>
          <w:tcPr>
            <w:tcW w:w="418" w:type="pct"/>
            <w:shd w:val="clear" w:color="auto" w:fill="auto"/>
            <w:vAlign w:val="center"/>
            <w:hideMark/>
          </w:tcPr>
          <w:p w14:paraId="1B0E948A" w14:textId="0567E693" w:rsidR="002F0741" w:rsidRPr="002F0741" w:rsidRDefault="002F0741" w:rsidP="002F0741">
            <w:pPr>
              <w:jc w:val="center"/>
              <w:rPr>
                <w:rFonts w:ascii="Aptos Narrow" w:hAnsi="Aptos Narrow"/>
                <w:b/>
                <w:bCs/>
                <w:color w:val="000000"/>
                <w:sz w:val="14"/>
                <w:szCs w:val="22"/>
              </w:rPr>
            </w:pPr>
            <w:r>
              <w:rPr>
                <w:rFonts w:ascii="Aptos Narrow" w:hAnsi="Aptos Narrow"/>
                <w:b/>
                <w:bCs/>
                <w:color w:val="000000"/>
                <w:sz w:val="14"/>
                <w:szCs w:val="22"/>
              </w:rPr>
              <w:t xml:space="preserve">  Importo riduzione art.63 (€)</w:t>
            </w:r>
            <w:r w:rsidRPr="002F0741">
              <w:rPr>
                <w:rFonts w:ascii="Aptos Narrow" w:hAnsi="Aptos Narrow"/>
                <w:b/>
                <w:bCs/>
                <w:color w:val="000000"/>
                <w:sz w:val="14"/>
                <w:szCs w:val="22"/>
              </w:rPr>
              <w:t xml:space="preserve"> </w:t>
            </w:r>
          </w:p>
        </w:tc>
        <w:tc>
          <w:tcPr>
            <w:tcW w:w="553" w:type="pct"/>
            <w:shd w:val="clear" w:color="auto" w:fill="auto"/>
            <w:vAlign w:val="center"/>
            <w:hideMark/>
          </w:tcPr>
          <w:p w14:paraId="19654190" w14:textId="0AD518E3"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 xml:space="preserve"> Importo richiesto</w:t>
            </w:r>
            <w:r>
              <w:rPr>
                <w:rFonts w:ascii="Aptos Narrow" w:hAnsi="Aptos Narrow"/>
                <w:b/>
                <w:bCs/>
                <w:color w:val="000000"/>
                <w:sz w:val="14"/>
                <w:szCs w:val="22"/>
              </w:rPr>
              <w:t xml:space="preserve"> (€)</w:t>
            </w:r>
            <w:r w:rsidRPr="002F0741">
              <w:rPr>
                <w:rFonts w:ascii="Aptos Narrow" w:hAnsi="Aptos Narrow"/>
                <w:b/>
                <w:bCs/>
                <w:color w:val="000000"/>
                <w:sz w:val="14"/>
                <w:szCs w:val="22"/>
              </w:rPr>
              <w:t xml:space="preserve"> </w:t>
            </w:r>
          </w:p>
        </w:tc>
        <w:tc>
          <w:tcPr>
            <w:tcW w:w="629" w:type="pct"/>
            <w:shd w:val="clear" w:color="auto" w:fill="auto"/>
            <w:vAlign w:val="center"/>
            <w:hideMark/>
          </w:tcPr>
          <w:p w14:paraId="5C90DE9B" w14:textId="3DEDF4AD"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 xml:space="preserve">  Importo riduzione art.63</w:t>
            </w:r>
            <w:r>
              <w:rPr>
                <w:rFonts w:ascii="Aptos Narrow" w:hAnsi="Aptos Narrow"/>
                <w:b/>
                <w:bCs/>
                <w:color w:val="000000"/>
                <w:sz w:val="14"/>
                <w:szCs w:val="22"/>
              </w:rPr>
              <w:t xml:space="preserve"> (€)</w:t>
            </w:r>
            <w:r w:rsidRPr="002F0741">
              <w:rPr>
                <w:rFonts w:ascii="Aptos Narrow" w:hAnsi="Aptos Narrow"/>
                <w:b/>
                <w:bCs/>
                <w:color w:val="000000"/>
                <w:sz w:val="14"/>
                <w:szCs w:val="22"/>
              </w:rPr>
              <w:t xml:space="preserve">    </w:t>
            </w:r>
          </w:p>
        </w:tc>
        <w:tc>
          <w:tcPr>
            <w:tcW w:w="553" w:type="pct"/>
            <w:shd w:val="clear" w:color="auto" w:fill="auto"/>
            <w:vAlign w:val="center"/>
            <w:hideMark/>
          </w:tcPr>
          <w:p w14:paraId="3CB8C5B9" w14:textId="371C3DF5"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 xml:space="preserve"> Importo richiesto </w:t>
            </w:r>
            <w:r>
              <w:rPr>
                <w:rFonts w:ascii="Aptos Narrow" w:hAnsi="Aptos Narrow"/>
                <w:b/>
                <w:bCs/>
                <w:color w:val="000000"/>
                <w:sz w:val="14"/>
                <w:szCs w:val="22"/>
              </w:rPr>
              <w:t>(€)</w:t>
            </w:r>
          </w:p>
        </w:tc>
        <w:tc>
          <w:tcPr>
            <w:tcW w:w="457" w:type="pct"/>
            <w:shd w:val="clear" w:color="auto" w:fill="auto"/>
            <w:vAlign w:val="center"/>
            <w:hideMark/>
          </w:tcPr>
          <w:p w14:paraId="17863176" w14:textId="62D5D692"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 xml:space="preserve">  Importo riduzioni </w:t>
            </w:r>
            <w:r>
              <w:rPr>
                <w:rFonts w:ascii="Aptos Narrow" w:hAnsi="Aptos Narrow"/>
                <w:b/>
                <w:bCs/>
                <w:color w:val="000000"/>
                <w:sz w:val="14"/>
                <w:szCs w:val="22"/>
              </w:rPr>
              <w:t>(€)</w:t>
            </w:r>
          </w:p>
        </w:tc>
        <w:tc>
          <w:tcPr>
            <w:tcW w:w="473" w:type="pct"/>
            <w:shd w:val="clear" w:color="auto" w:fill="auto"/>
            <w:vAlign w:val="center"/>
            <w:hideMark/>
          </w:tcPr>
          <w:p w14:paraId="12243AE3" w14:textId="77777777"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CASUALE</w:t>
            </w:r>
          </w:p>
        </w:tc>
        <w:tc>
          <w:tcPr>
            <w:tcW w:w="294" w:type="pct"/>
            <w:shd w:val="clear" w:color="auto" w:fill="auto"/>
            <w:vAlign w:val="center"/>
            <w:hideMark/>
          </w:tcPr>
          <w:p w14:paraId="12F3C0BA" w14:textId="77777777" w:rsidR="002F0741" w:rsidRPr="002F0741" w:rsidRDefault="002F0741" w:rsidP="002F0741">
            <w:pPr>
              <w:jc w:val="center"/>
              <w:rPr>
                <w:rFonts w:ascii="Aptos Narrow" w:hAnsi="Aptos Narrow"/>
                <w:b/>
                <w:bCs/>
                <w:color w:val="000000"/>
                <w:sz w:val="14"/>
                <w:szCs w:val="22"/>
              </w:rPr>
            </w:pPr>
            <w:r w:rsidRPr="002F0741">
              <w:rPr>
                <w:rFonts w:ascii="Aptos Narrow" w:hAnsi="Aptos Narrow"/>
                <w:b/>
                <w:bCs/>
                <w:color w:val="000000"/>
                <w:sz w:val="14"/>
                <w:szCs w:val="22"/>
              </w:rPr>
              <w:t>RISCHIO</w:t>
            </w:r>
          </w:p>
        </w:tc>
      </w:tr>
      <w:tr w:rsidR="00893FF5" w:rsidRPr="002F0741" w14:paraId="0A3DA3A8" w14:textId="77777777" w:rsidTr="00893FF5">
        <w:trPr>
          <w:trHeight w:val="20"/>
        </w:trPr>
        <w:tc>
          <w:tcPr>
            <w:tcW w:w="214" w:type="pct"/>
            <w:shd w:val="clear" w:color="auto" w:fill="auto"/>
            <w:noWrap/>
            <w:vAlign w:val="bottom"/>
            <w:hideMark/>
          </w:tcPr>
          <w:p w14:paraId="174F278C"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1</w:t>
            </w:r>
          </w:p>
        </w:tc>
        <w:tc>
          <w:tcPr>
            <w:tcW w:w="515" w:type="pct"/>
            <w:shd w:val="clear" w:color="auto" w:fill="auto"/>
            <w:noWrap/>
            <w:vAlign w:val="bottom"/>
            <w:hideMark/>
          </w:tcPr>
          <w:p w14:paraId="52ACEC5E"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42.026,88 </w:t>
            </w:r>
          </w:p>
        </w:tc>
        <w:tc>
          <w:tcPr>
            <w:tcW w:w="380" w:type="pct"/>
            <w:shd w:val="clear" w:color="auto" w:fill="auto"/>
            <w:noWrap/>
            <w:vAlign w:val="bottom"/>
            <w:hideMark/>
          </w:tcPr>
          <w:p w14:paraId="4EF4A911"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15" w:type="pct"/>
            <w:shd w:val="clear" w:color="auto" w:fill="auto"/>
            <w:noWrap/>
            <w:vAlign w:val="bottom"/>
            <w:hideMark/>
          </w:tcPr>
          <w:p w14:paraId="1B06BFA1"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40.418,40 </w:t>
            </w:r>
          </w:p>
        </w:tc>
        <w:tc>
          <w:tcPr>
            <w:tcW w:w="418" w:type="pct"/>
            <w:shd w:val="clear" w:color="auto" w:fill="auto"/>
            <w:noWrap/>
            <w:vAlign w:val="bottom"/>
            <w:hideMark/>
          </w:tcPr>
          <w:p w14:paraId="6CF23DC8"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53" w:type="pct"/>
            <w:shd w:val="clear" w:color="auto" w:fill="auto"/>
            <w:noWrap/>
            <w:vAlign w:val="bottom"/>
            <w:hideMark/>
          </w:tcPr>
          <w:p w14:paraId="243907A3"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81.111,10 </w:t>
            </w:r>
          </w:p>
        </w:tc>
        <w:tc>
          <w:tcPr>
            <w:tcW w:w="629" w:type="pct"/>
            <w:shd w:val="clear" w:color="auto" w:fill="auto"/>
            <w:noWrap/>
            <w:vAlign w:val="bottom"/>
            <w:hideMark/>
          </w:tcPr>
          <w:p w14:paraId="3AE6B3EF"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53" w:type="pct"/>
            <w:shd w:val="clear" w:color="auto" w:fill="auto"/>
            <w:noWrap/>
            <w:vAlign w:val="bottom"/>
            <w:hideMark/>
          </w:tcPr>
          <w:p w14:paraId="3F91A8BF"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163.556,38 </w:t>
            </w:r>
          </w:p>
        </w:tc>
        <w:tc>
          <w:tcPr>
            <w:tcW w:w="457" w:type="pct"/>
            <w:shd w:val="clear" w:color="auto" w:fill="auto"/>
            <w:noWrap/>
            <w:vAlign w:val="bottom"/>
            <w:hideMark/>
          </w:tcPr>
          <w:p w14:paraId="520387D2"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473" w:type="pct"/>
            <w:shd w:val="clear" w:color="auto" w:fill="auto"/>
            <w:noWrap/>
            <w:vAlign w:val="bottom"/>
            <w:hideMark/>
          </w:tcPr>
          <w:p w14:paraId="6C7E545C"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c>
          <w:tcPr>
            <w:tcW w:w="294" w:type="pct"/>
            <w:shd w:val="clear" w:color="auto" w:fill="auto"/>
            <w:noWrap/>
            <w:vAlign w:val="bottom"/>
            <w:hideMark/>
          </w:tcPr>
          <w:p w14:paraId="45773BCB"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r>
      <w:tr w:rsidR="00893FF5" w:rsidRPr="002F0741" w14:paraId="6D67D886" w14:textId="77777777" w:rsidTr="00893FF5">
        <w:trPr>
          <w:trHeight w:val="20"/>
        </w:trPr>
        <w:tc>
          <w:tcPr>
            <w:tcW w:w="214" w:type="pct"/>
            <w:shd w:val="clear" w:color="auto" w:fill="auto"/>
            <w:noWrap/>
            <w:vAlign w:val="bottom"/>
            <w:hideMark/>
          </w:tcPr>
          <w:p w14:paraId="79BC0D63"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2</w:t>
            </w:r>
          </w:p>
        </w:tc>
        <w:tc>
          <w:tcPr>
            <w:tcW w:w="515" w:type="pct"/>
            <w:shd w:val="clear" w:color="auto" w:fill="auto"/>
            <w:noWrap/>
            <w:vAlign w:val="bottom"/>
            <w:hideMark/>
          </w:tcPr>
          <w:p w14:paraId="3E5A995C"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27.619,61 </w:t>
            </w:r>
          </w:p>
        </w:tc>
        <w:tc>
          <w:tcPr>
            <w:tcW w:w="380" w:type="pct"/>
            <w:shd w:val="clear" w:color="auto" w:fill="auto"/>
            <w:noWrap/>
            <w:vAlign w:val="bottom"/>
            <w:hideMark/>
          </w:tcPr>
          <w:p w14:paraId="34BA24C8"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534,77 </w:t>
            </w:r>
          </w:p>
        </w:tc>
        <w:tc>
          <w:tcPr>
            <w:tcW w:w="515" w:type="pct"/>
            <w:shd w:val="clear" w:color="auto" w:fill="auto"/>
            <w:noWrap/>
            <w:vAlign w:val="bottom"/>
            <w:hideMark/>
          </w:tcPr>
          <w:p w14:paraId="6421D5A2"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80.309,20 </w:t>
            </w:r>
          </w:p>
        </w:tc>
        <w:tc>
          <w:tcPr>
            <w:tcW w:w="418" w:type="pct"/>
            <w:shd w:val="clear" w:color="auto" w:fill="auto"/>
            <w:noWrap/>
            <w:vAlign w:val="bottom"/>
            <w:hideMark/>
          </w:tcPr>
          <w:p w14:paraId="010DA4E9"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53" w:type="pct"/>
            <w:shd w:val="clear" w:color="auto" w:fill="auto"/>
            <w:noWrap/>
            <w:vAlign w:val="bottom"/>
            <w:hideMark/>
          </w:tcPr>
          <w:p w14:paraId="037C3832"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1.252.442,28 </w:t>
            </w:r>
          </w:p>
        </w:tc>
        <w:tc>
          <w:tcPr>
            <w:tcW w:w="629" w:type="pct"/>
            <w:shd w:val="clear" w:color="auto" w:fill="auto"/>
            <w:noWrap/>
            <w:vAlign w:val="bottom"/>
            <w:hideMark/>
          </w:tcPr>
          <w:p w14:paraId="4F847675"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699,84 </w:t>
            </w:r>
          </w:p>
        </w:tc>
        <w:tc>
          <w:tcPr>
            <w:tcW w:w="553" w:type="pct"/>
            <w:shd w:val="clear" w:color="auto" w:fill="auto"/>
            <w:noWrap/>
            <w:vAlign w:val="bottom"/>
            <w:hideMark/>
          </w:tcPr>
          <w:p w14:paraId="27C156DB"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1.360.371,09 </w:t>
            </w:r>
          </w:p>
        </w:tc>
        <w:tc>
          <w:tcPr>
            <w:tcW w:w="457" w:type="pct"/>
            <w:shd w:val="clear" w:color="auto" w:fill="auto"/>
            <w:noWrap/>
            <w:vAlign w:val="bottom"/>
            <w:hideMark/>
          </w:tcPr>
          <w:p w14:paraId="3F2DDCCF"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1.234,61 </w:t>
            </w:r>
          </w:p>
        </w:tc>
        <w:tc>
          <w:tcPr>
            <w:tcW w:w="473" w:type="pct"/>
            <w:shd w:val="clear" w:color="auto" w:fill="auto"/>
            <w:noWrap/>
            <w:vAlign w:val="bottom"/>
            <w:hideMark/>
          </w:tcPr>
          <w:p w14:paraId="5D7CD574"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1,9%</w:t>
            </w:r>
          </w:p>
        </w:tc>
        <w:tc>
          <w:tcPr>
            <w:tcW w:w="294" w:type="pct"/>
            <w:shd w:val="clear" w:color="auto" w:fill="auto"/>
            <w:noWrap/>
            <w:vAlign w:val="bottom"/>
            <w:hideMark/>
          </w:tcPr>
          <w:p w14:paraId="19159E55"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r>
      <w:tr w:rsidR="00893FF5" w:rsidRPr="002F0741" w14:paraId="290156D0" w14:textId="77777777" w:rsidTr="00893FF5">
        <w:trPr>
          <w:trHeight w:val="20"/>
        </w:trPr>
        <w:tc>
          <w:tcPr>
            <w:tcW w:w="214" w:type="pct"/>
            <w:shd w:val="clear" w:color="auto" w:fill="auto"/>
            <w:noWrap/>
            <w:vAlign w:val="bottom"/>
            <w:hideMark/>
          </w:tcPr>
          <w:p w14:paraId="43EA8EFB"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3</w:t>
            </w:r>
          </w:p>
        </w:tc>
        <w:tc>
          <w:tcPr>
            <w:tcW w:w="515" w:type="pct"/>
            <w:shd w:val="clear" w:color="auto" w:fill="auto"/>
            <w:noWrap/>
            <w:vAlign w:val="bottom"/>
            <w:hideMark/>
          </w:tcPr>
          <w:p w14:paraId="187C083B"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450.735,12 </w:t>
            </w:r>
          </w:p>
        </w:tc>
        <w:tc>
          <w:tcPr>
            <w:tcW w:w="380" w:type="pct"/>
            <w:shd w:val="clear" w:color="auto" w:fill="auto"/>
            <w:noWrap/>
            <w:vAlign w:val="bottom"/>
            <w:hideMark/>
          </w:tcPr>
          <w:p w14:paraId="69547920"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15" w:type="pct"/>
            <w:shd w:val="clear" w:color="auto" w:fill="auto"/>
            <w:noWrap/>
            <w:vAlign w:val="bottom"/>
            <w:hideMark/>
          </w:tcPr>
          <w:p w14:paraId="68B7BB95"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374,40 </w:t>
            </w:r>
          </w:p>
        </w:tc>
        <w:tc>
          <w:tcPr>
            <w:tcW w:w="418" w:type="pct"/>
            <w:shd w:val="clear" w:color="auto" w:fill="auto"/>
            <w:noWrap/>
            <w:vAlign w:val="bottom"/>
            <w:hideMark/>
          </w:tcPr>
          <w:p w14:paraId="6BA41FBD"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53" w:type="pct"/>
            <w:shd w:val="clear" w:color="auto" w:fill="auto"/>
            <w:noWrap/>
            <w:vAlign w:val="bottom"/>
            <w:hideMark/>
          </w:tcPr>
          <w:p w14:paraId="126282FC"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612.627,39 </w:t>
            </w:r>
          </w:p>
        </w:tc>
        <w:tc>
          <w:tcPr>
            <w:tcW w:w="629" w:type="pct"/>
            <w:shd w:val="clear" w:color="auto" w:fill="auto"/>
            <w:noWrap/>
            <w:vAlign w:val="bottom"/>
            <w:hideMark/>
          </w:tcPr>
          <w:p w14:paraId="6847B19F"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1.185,51 </w:t>
            </w:r>
          </w:p>
        </w:tc>
        <w:tc>
          <w:tcPr>
            <w:tcW w:w="553" w:type="pct"/>
            <w:shd w:val="clear" w:color="auto" w:fill="auto"/>
            <w:noWrap/>
            <w:vAlign w:val="bottom"/>
            <w:hideMark/>
          </w:tcPr>
          <w:p w14:paraId="217603D2"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1.063.736,91 </w:t>
            </w:r>
          </w:p>
        </w:tc>
        <w:tc>
          <w:tcPr>
            <w:tcW w:w="457" w:type="pct"/>
            <w:shd w:val="clear" w:color="auto" w:fill="auto"/>
            <w:noWrap/>
            <w:vAlign w:val="bottom"/>
            <w:hideMark/>
          </w:tcPr>
          <w:p w14:paraId="477D47B6"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1.185,51 </w:t>
            </w:r>
          </w:p>
        </w:tc>
        <w:tc>
          <w:tcPr>
            <w:tcW w:w="473" w:type="pct"/>
            <w:shd w:val="clear" w:color="auto" w:fill="auto"/>
            <w:noWrap/>
            <w:vAlign w:val="bottom"/>
            <w:hideMark/>
          </w:tcPr>
          <w:p w14:paraId="2C34E257"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c>
          <w:tcPr>
            <w:tcW w:w="294" w:type="pct"/>
            <w:shd w:val="clear" w:color="auto" w:fill="auto"/>
            <w:noWrap/>
            <w:vAlign w:val="bottom"/>
            <w:hideMark/>
          </w:tcPr>
          <w:p w14:paraId="03DBF98D"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r>
      <w:tr w:rsidR="00893FF5" w:rsidRPr="002F0741" w14:paraId="043C1782" w14:textId="77777777" w:rsidTr="00893FF5">
        <w:trPr>
          <w:trHeight w:val="20"/>
        </w:trPr>
        <w:tc>
          <w:tcPr>
            <w:tcW w:w="214" w:type="pct"/>
            <w:shd w:val="clear" w:color="auto" w:fill="auto"/>
            <w:noWrap/>
            <w:vAlign w:val="bottom"/>
            <w:hideMark/>
          </w:tcPr>
          <w:p w14:paraId="336C3311"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4</w:t>
            </w:r>
          </w:p>
        </w:tc>
        <w:tc>
          <w:tcPr>
            <w:tcW w:w="515" w:type="pct"/>
            <w:shd w:val="clear" w:color="auto" w:fill="auto"/>
            <w:noWrap/>
            <w:vAlign w:val="bottom"/>
            <w:hideMark/>
          </w:tcPr>
          <w:p w14:paraId="58EFF448"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1.076.213,30 </w:t>
            </w:r>
          </w:p>
        </w:tc>
        <w:tc>
          <w:tcPr>
            <w:tcW w:w="380" w:type="pct"/>
            <w:shd w:val="clear" w:color="auto" w:fill="auto"/>
            <w:noWrap/>
            <w:vAlign w:val="bottom"/>
            <w:hideMark/>
          </w:tcPr>
          <w:p w14:paraId="087B5796"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1.296,00 </w:t>
            </w:r>
          </w:p>
        </w:tc>
        <w:tc>
          <w:tcPr>
            <w:tcW w:w="515" w:type="pct"/>
            <w:shd w:val="clear" w:color="auto" w:fill="auto"/>
            <w:noWrap/>
            <w:vAlign w:val="bottom"/>
            <w:hideMark/>
          </w:tcPr>
          <w:p w14:paraId="7EDBB868"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925.122,70 </w:t>
            </w:r>
          </w:p>
        </w:tc>
        <w:tc>
          <w:tcPr>
            <w:tcW w:w="418" w:type="pct"/>
            <w:shd w:val="clear" w:color="auto" w:fill="auto"/>
            <w:noWrap/>
            <w:vAlign w:val="bottom"/>
            <w:hideMark/>
          </w:tcPr>
          <w:p w14:paraId="4E3E6059"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9.344,78 </w:t>
            </w:r>
          </w:p>
        </w:tc>
        <w:tc>
          <w:tcPr>
            <w:tcW w:w="553" w:type="pct"/>
            <w:shd w:val="clear" w:color="auto" w:fill="auto"/>
            <w:noWrap/>
            <w:vAlign w:val="bottom"/>
            <w:hideMark/>
          </w:tcPr>
          <w:p w14:paraId="4A0305D5"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14.380.156,39 </w:t>
            </w:r>
          </w:p>
        </w:tc>
        <w:tc>
          <w:tcPr>
            <w:tcW w:w="629" w:type="pct"/>
            <w:shd w:val="clear" w:color="auto" w:fill="auto"/>
            <w:noWrap/>
            <w:vAlign w:val="bottom"/>
            <w:hideMark/>
          </w:tcPr>
          <w:p w14:paraId="71038B80"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38.228,97 </w:t>
            </w:r>
          </w:p>
        </w:tc>
        <w:tc>
          <w:tcPr>
            <w:tcW w:w="553" w:type="pct"/>
            <w:shd w:val="clear" w:color="auto" w:fill="auto"/>
            <w:noWrap/>
            <w:vAlign w:val="bottom"/>
            <w:hideMark/>
          </w:tcPr>
          <w:p w14:paraId="300BA683"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16.381.492,39 </w:t>
            </w:r>
          </w:p>
        </w:tc>
        <w:tc>
          <w:tcPr>
            <w:tcW w:w="457" w:type="pct"/>
            <w:shd w:val="clear" w:color="auto" w:fill="auto"/>
            <w:noWrap/>
            <w:vAlign w:val="bottom"/>
            <w:hideMark/>
          </w:tcPr>
          <w:p w14:paraId="49FFB08D"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48.869,75 </w:t>
            </w:r>
          </w:p>
        </w:tc>
        <w:tc>
          <w:tcPr>
            <w:tcW w:w="473" w:type="pct"/>
            <w:shd w:val="clear" w:color="auto" w:fill="auto"/>
            <w:noWrap/>
            <w:vAlign w:val="bottom"/>
            <w:hideMark/>
          </w:tcPr>
          <w:p w14:paraId="7124FD91"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0,1%</w:t>
            </w:r>
          </w:p>
        </w:tc>
        <w:tc>
          <w:tcPr>
            <w:tcW w:w="294" w:type="pct"/>
            <w:shd w:val="clear" w:color="auto" w:fill="auto"/>
            <w:noWrap/>
            <w:vAlign w:val="bottom"/>
            <w:hideMark/>
          </w:tcPr>
          <w:p w14:paraId="3320968B"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1,0%</w:t>
            </w:r>
          </w:p>
        </w:tc>
      </w:tr>
      <w:tr w:rsidR="00893FF5" w:rsidRPr="002F0741" w14:paraId="47EF1790" w14:textId="77777777" w:rsidTr="00893FF5">
        <w:trPr>
          <w:trHeight w:val="20"/>
        </w:trPr>
        <w:tc>
          <w:tcPr>
            <w:tcW w:w="214" w:type="pct"/>
            <w:shd w:val="clear" w:color="auto" w:fill="auto"/>
            <w:noWrap/>
            <w:vAlign w:val="bottom"/>
            <w:hideMark/>
          </w:tcPr>
          <w:p w14:paraId="105E94DF"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5</w:t>
            </w:r>
          </w:p>
        </w:tc>
        <w:tc>
          <w:tcPr>
            <w:tcW w:w="515" w:type="pct"/>
            <w:shd w:val="clear" w:color="auto" w:fill="auto"/>
            <w:noWrap/>
            <w:vAlign w:val="bottom"/>
            <w:hideMark/>
          </w:tcPr>
          <w:p w14:paraId="1781DCCC"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380" w:type="pct"/>
            <w:shd w:val="clear" w:color="auto" w:fill="auto"/>
            <w:noWrap/>
            <w:vAlign w:val="bottom"/>
            <w:hideMark/>
          </w:tcPr>
          <w:p w14:paraId="6C0030E9"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15" w:type="pct"/>
            <w:shd w:val="clear" w:color="auto" w:fill="auto"/>
            <w:noWrap/>
            <w:vAlign w:val="bottom"/>
            <w:hideMark/>
          </w:tcPr>
          <w:p w14:paraId="5E613A54"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w:t>
            </w:r>
          </w:p>
        </w:tc>
        <w:tc>
          <w:tcPr>
            <w:tcW w:w="418" w:type="pct"/>
            <w:shd w:val="clear" w:color="auto" w:fill="auto"/>
            <w:noWrap/>
            <w:vAlign w:val="bottom"/>
            <w:hideMark/>
          </w:tcPr>
          <w:p w14:paraId="530780B5"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w:t>
            </w:r>
          </w:p>
        </w:tc>
        <w:tc>
          <w:tcPr>
            <w:tcW w:w="553" w:type="pct"/>
            <w:shd w:val="clear" w:color="auto" w:fill="auto"/>
            <w:noWrap/>
            <w:vAlign w:val="bottom"/>
            <w:hideMark/>
          </w:tcPr>
          <w:p w14:paraId="61E17193"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258.606,35 </w:t>
            </w:r>
          </w:p>
        </w:tc>
        <w:tc>
          <w:tcPr>
            <w:tcW w:w="629" w:type="pct"/>
            <w:shd w:val="clear" w:color="auto" w:fill="auto"/>
            <w:noWrap/>
            <w:vAlign w:val="bottom"/>
            <w:hideMark/>
          </w:tcPr>
          <w:p w14:paraId="20CEFBBB"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53" w:type="pct"/>
            <w:shd w:val="clear" w:color="auto" w:fill="auto"/>
            <w:noWrap/>
            <w:vAlign w:val="bottom"/>
            <w:hideMark/>
          </w:tcPr>
          <w:p w14:paraId="3F9BFAEB"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258.606,35 </w:t>
            </w:r>
          </w:p>
        </w:tc>
        <w:tc>
          <w:tcPr>
            <w:tcW w:w="457" w:type="pct"/>
            <w:shd w:val="clear" w:color="auto" w:fill="auto"/>
            <w:noWrap/>
            <w:vAlign w:val="bottom"/>
            <w:hideMark/>
          </w:tcPr>
          <w:p w14:paraId="5DF5D5DF"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473" w:type="pct"/>
            <w:shd w:val="clear" w:color="auto" w:fill="auto"/>
            <w:noWrap/>
            <w:vAlign w:val="bottom"/>
            <w:hideMark/>
          </w:tcPr>
          <w:p w14:paraId="3B1AB74F"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w:t>
            </w:r>
          </w:p>
        </w:tc>
        <w:tc>
          <w:tcPr>
            <w:tcW w:w="294" w:type="pct"/>
            <w:shd w:val="clear" w:color="auto" w:fill="auto"/>
            <w:noWrap/>
            <w:vAlign w:val="bottom"/>
            <w:hideMark/>
          </w:tcPr>
          <w:p w14:paraId="0AF72FBD"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w:t>
            </w:r>
          </w:p>
        </w:tc>
      </w:tr>
      <w:tr w:rsidR="00893FF5" w:rsidRPr="002F0741" w14:paraId="37173BB3" w14:textId="77777777" w:rsidTr="00893FF5">
        <w:trPr>
          <w:trHeight w:val="20"/>
        </w:trPr>
        <w:tc>
          <w:tcPr>
            <w:tcW w:w="214" w:type="pct"/>
            <w:shd w:val="clear" w:color="auto" w:fill="auto"/>
            <w:noWrap/>
            <w:vAlign w:val="bottom"/>
            <w:hideMark/>
          </w:tcPr>
          <w:p w14:paraId="3A67C81A"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6</w:t>
            </w:r>
          </w:p>
        </w:tc>
        <w:tc>
          <w:tcPr>
            <w:tcW w:w="515" w:type="pct"/>
            <w:shd w:val="clear" w:color="auto" w:fill="auto"/>
            <w:noWrap/>
            <w:vAlign w:val="bottom"/>
            <w:hideMark/>
          </w:tcPr>
          <w:p w14:paraId="3A7470A7"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256.880,14 </w:t>
            </w:r>
          </w:p>
        </w:tc>
        <w:tc>
          <w:tcPr>
            <w:tcW w:w="380" w:type="pct"/>
            <w:shd w:val="clear" w:color="auto" w:fill="auto"/>
            <w:noWrap/>
            <w:vAlign w:val="bottom"/>
            <w:hideMark/>
          </w:tcPr>
          <w:p w14:paraId="20127D07"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1.760,48 </w:t>
            </w:r>
          </w:p>
        </w:tc>
        <w:tc>
          <w:tcPr>
            <w:tcW w:w="515" w:type="pct"/>
            <w:shd w:val="clear" w:color="auto" w:fill="auto"/>
            <w:noWrap/>
            <w:vAlign w:val="bottom"/>
            <w:hideMark/>
          </w:tcPr>
          <w:p w14:paraId="00533E87"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102.200,00 </w:t>
            </w:r>
          </w:p>
        </w:tc>
        <w:tc>
          <w:tcPr>
            <w:tcW w:w="418" w:type="pct"/>
            <w:shd w:val="clear" w:color="auto" w:fill="auto"/>
            <w:noWrap/>
            <w:vAlign w:val="bottom"/>
            <w:hideMark/>
          </w:tcPr>
          <w:p w14:paraId="14927160"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53" w:type="pct"/>
            <w:shd w:val="clear" w:color="auto" w:fill="auto"/>
            <w:noWrap/>
            <w:vAlign w:val="bottom"/>
            <w:hideMark/>
          </w:tcPr>
          <w:p w14:paraId="5114296C"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5.997.713,35 </w:t>
            </w:r>
          </w:p>
        </w:tc>
        <w:tc>
          <w:tcPr>
            <w:tcW w:w="629" w:type="pct"/>
            <w:shd w:val="clear" w:color="auto" w:fill="auto"/>
            <w:noWrap/>
            <w:vAlign w:val="bottom"/>
            <w:hideMark/>
          </w:tcPr>
          <w:p w14:paraId="0D85E943"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34.710,39 </w:t>
            </w:r>
          </w:p>
        </w:tc>
        <w:tc>
          <w:tcPr>
            <w:tcW w:w="553" w:type="pct"/>
            <w:shd w:val="clear" w:color="auto" w:fill="auto"/>
            <w:noWrap/>
            <w:vAlign w:val="bottom"/>
            <w:hideMark/>
          </w:tcPr>
          <w:p w14:paraId="655270E6"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6.356.793,49 </w:t>
            </w:r>
          </w:p>
        </w:tc>
        <w:tc>
          <w:tcPr>
            <w:tcW w:w="457" w:type="pct"/>
            <w:shd w:val="clear" w:color="auto" w:fill="auto"/>
            <w:noWrap/>
            <w:vAlign w:val="bottom"/>
            <w:hideMark/>
          </w:tcPr>
          <w:p w14:paraId="26C22549"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36.470,87 </w:t>
            </w:r>
          </w:p>
        </w:tc>
        <w:tc>
          <w:tcPr>
            <w:tcW w:w="473" w:type="pct"/>
            <w:shd w:val="clear" w:color="auto" w:fill="auto"/>
            <w:noWrap/>
            <w:vAlign w:val="bottom"/>
            <w:hideMark/>
          </w:tcPr>
          <w:p w14:paraId="011D336C"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0,7%</w:t>
            </w:r>
          </w:p>
        </w:tc>
        <w:tc>
          <w:tcPr>
            <w:tcW w:w="294" w:type="pct"/>
            <w:shd w:val="clear" w:color="auto" w:fill="auto"/>
            <w:noWrap/>
            <w:vAlign w:val="bottom"/>
            <w:hideMark/>
          </w:tcPr>
          <w:p w14:paraId="584A57CD"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r>
      <w:tr w:rsidR="00893FF5" w:rsidRPr="002F0741" w14:paraId="22E11A18" w14:textId="77777777" w:rsidTr="00893FF5">
        <w:trPr>
          <w:trHeight w:val="20"/>
        </w:trPr>
        <w:tc>
          <w:tcPr>
            <w:tcW w:w="214" w:type="pct"/>
            <w:shd w:val="clear" w:color="auto" w:fill="auto"/>
            <w:noWrap/>
            <w:vAlign w:val="bottom"/>
            <w:hideMark/>
          </w:tcPr>
          <w:p w14:paraId="115A1A5F"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7</w:t>
            </w:r>
          </w:p>
        </w:tc>
        <w:tc>
          <w:tcPr>
            <w:tcW w:w="515" w:type="pct"/>
            <w:shd w:val="clear" w:color="auto" w:fill="auto"/>
            <w:noWrap/>
            <w:vAlign w:val="bottom"/>
            <w:hideMark/>
          </w:tcPr>
          <w:p w14:paraId="48B267E8"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72.904,61 </w:t>
            </w:r>
          </w:p>
        </w:tc>
        <w:tc>
          <w:tcPr>
            <w:tcW w:w="380" w:type="pct"/>
            <w:shd w:val="clear" w:color="auto" w:fill="auto"/>
            <w:noWrap/>
            <w:vAlign w:val="bottom"/>
            <w:hideMark/>
          </w:tcPr>
          <w:p w14:paraId="7F490E5D"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15" w:type="pct"/>
            <w:shd w:val="clear" w:color="auto" w:fill="auto"/>
            <w:noWrap/>
            <w:vAlign w:val="bottom"/>
            <w:hideMark/>
          </w:tcPr>
          <w:p w14:paraId="30B8F2E2"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633.865,84 </w:t>
            </w:r>
          </w:p>
        </w:tc>
        <w:tc>
          <w:tcPr>
            <w:tcW w:w="418" w:type="pct"/>
            <w:shd w:val="clear" w:color="auto" w:fill="auto"/>
            <w:noWrap/>
            <w:vAlign w:val="bottom"/>
            <w:hideMark/>
          </w:tcPr>
          <w:p w14:paraId="424A8D8F"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572,72 </w:t>
            </w:r>
          </w:p>
        </w:tc>
        <w:tc>
          <w:tcPr>
            <w:tcW w:w="553" w:type="pct"/>
            <w:shd w:val="clear" w:color="auto" w:fill="auto"/>
            <w:noWrap/>
            <w:vAlign w:val="bottom"/>
            <w:hideMark/>
          </w:tcPr>
          <w:p w14:paraId="41258F66"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1.487.943,96 </w:t>
            </w:r>
          </w:p>
        </w:tc>
        <w:tc>
          <w:tcPr>
            <w:tcW w:w="629" w:type="pct"/>
            <w:shd w:val="clear" w:color="auto" w:fill="auto"/>
            <w:noWrap/>
            <w:vAlign w:val="bottom"/>
            <w:hideMark/>
          </w:tcPr>
          <w:p w14:paraId="58FB1DD6"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5.649,12 </w:t>
            </w:r>
          </w:p>
        </w:tc>
        <w:tc>
          <w:tcPr>
            <w:tcW w:w="553" w:type="pct"/>
            <w:shd w:val="clear" w:color="auto" w:fill="auto"/>
            <w:noWrap/>
            <w:vAlign w:val="bottom"/>
            <w:hideMark/>
          </w:tcPr>
          <w:p w14:paraId="34B47628"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2.194.714,41 </w:t>
            </w:r>
          </w:p>
        </w:tc>
        <w:tc>
          <w:tcPr>
            <w:tcW w:w="457" w:type="pct"/>
            <w:shd w:val="clear" w:color="auto" w:fill="auto"/>
            <w:noWrap/>
            <w:vAlign w:val="bottom"/>
            <w:hideMark/>
          </w:tcPr>
          <w:p w14:paraId="0A25A717"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6.221,84 </w:t>
            </w:r>
          </w:p>
        </w:tc>
        <w:tc>
          <w:tcPr>
            <w:tcW w:w="473" w:type="pct"/>
            <w:shd w:val="clear" w:color="auto" w:fill="auto"/>
            <w:noWrap/>
            <w:vAlign w:val="bottom"/>
            <w:hideMark/>
          </w:tcPr>
          <w:p w14:paraId="6187C690"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c>
          <w:tcPr>
            <w:tcW w:w="294" w:type="pct"/>
            <w:shd w:val="clear" w:color="auto" w:fill="auto"/>
            <w:noWrap/>
            <w:vAlign w:val="bottom"/>
            <w:hideMark/>
          </w:tcPr>
          <w:p w14:paraId="30D97EC5"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0,1%</w:t>
            </w:r>
          </w:p>
        </w:tc>
      </w:tr>
      <w:tr w:rsidR="00893FF5" w:rsidRPr="002F0741" w14:paraId="0B8F58F5" w14:textId="77777777" w:rsidTr="00893FF5">
        <w:trPr>
          <w:trHeight w:val="20"/>
        </w:trPr>
        <w:tc>
          <w:tcPr>
            <w:tcW w:w="214" w:type="pct"/>
            <w:shd w:val="clear" w:color="auto" w:fill="auto"/>
            <w:noWrap/>
            <w:vAlign w:val="bottom"/>
            <w:hideMark/>
          </w:tcPr>
          <w:p w14:paraId="30B2CBFC"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8</w:t>
            </w:r>
          </w:p>
        </w:tc>
        <w:tc>
          <w:tcPr>
            <w:tcW w:w="515" w:type="pct"/>
            <w:shd w:val="clear" w:color="auto" w:fill="auto"/>
            <w:noWrap/>
            <w:vAlign w:val="bottom"/>
            <w:hideMark/>
          </w:tcPr>
          <w:p w14:paraId="56483E0A"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24.630,39 </w:t>
            </w:r>
          </w:p>
        </w:tc>
        <w:tc>
          <w:tcPr>
            <w:tcW w:w="380" w:type="pct"/>
            <w:shd w:val="clear" w:color="auto" w:fill="auto"/>
            <w:noWrap/>
            <w:vAlign w:val="bottom"/>
            <w:hideMark/>
          </w:tcPr>
          <w:p w14:paraId="2C80E804"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607,19 </w:t>
            </w:r>
          </w:p>
        </w:tc>
        <w:tc>
          <w:tcPr>
            <w:tcW w:w="515" w:type="pct"/>
            <w:shd w:val="clear" w:color="auto" w:fill="auto"/>
            <w:noWrap/>
            <w:vAlign w:val="bottom"/>
            <w:hideMark/>
          </w:tcPr>
          <w:p w14:paraId="6851A7E2"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54.666,81 </w:t>
            </w:r>
          </w:p>
        </w:tc>
        <w:tc>
          <w:tcPr>
            <w:tcW w:w="418" w:type="pct"/>
            <w:shd w:val="clear" w:color="auto" w:fill="auto"/>
            <w:noWrap/>
            <w:vAlign w:val="bottom"/>
            <w:hideMark/>
          </w:tcPr>
          <w:p w14:paraId="1FA27F6A"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1.248,68 </w:t>
            </w:r>
          </w:p>
        </w:tc>
        <w:tc>
          <w:tcPr>
            <w:tcW w:w="553" w:type="pct"/>
            <w:shd w:val="clear" w:color="auto" w:fill="auto"/>
            <w:noWrap/>
            <w:vAlign w:val="bottom"/>
            <w:hideMark/>
          </w:tcPr>
          <w:p w14:paraId="37FED814"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502.482,33 </w:t>
            </w:r>
          </w:p>
        </w:tc>
        <w:tc>
          <w:tcPr>
            <w:tcW w:w="629" w:type="pct"/>
            <w:shd w:val="clear" w:color="auto" w:fill="auto"/>
            <w:noWrap/>
            <w:vAlign w:val="bottom"/>
            <w:hideMark/>
          </w:tcPr>
          <w:p w14:paraId="46B4578C"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53" w:type="pct"/>
            <w:shd w:val="clear" w:color="auto" w:fill="auto"/>
            <w:noWrap/>
            <w:vAlign w:val="bottom"/>
            <w:hideMark/>
          </w:tcPr>
          <w:p w14:paraId="0F8F7F5D"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581.779,53 </w:t>
            </w:r>
          </w:p>
        </w:tc>
        <w:tc>
          <w:tcPr>
            <w:tcW w:w="457" w:type="pct"/>
            <w:shd w:val="clear" w:color="auto" w:fill="auto"/>
            <w:noWrap/>
            <w:vAlign w:val="bottom"/>
            <w:hideMark/>
          </w:tcPr>
          <w:p w14:paraId="0F15BCAC"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1.855,87 </w:t>
            </w:r>
          </w:p>
        </w:tc>
        <w:tc>
          <w:tcPr>
            <w:tcW w:w="473" w:type="pct"/>
            <w:shd w:val="clear" w:color="auto" w:fill="auto"/>
            <w:noWrap/>
            <w:vAlign w:val="bottom"/>
            <w:hideMark/>
          </w:tcPr>
          <w:p w14:paraId="4FF3DA91"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2,5%</w:t>
            </w:r>
          </w:p>
        </w:tc>
        <w:tc>
          <w:tcPr>
            <w:tcW w:w="294" w:type="pct"/>
            <w:shd w:val="clear" w:color="auto" w:fill="auto"/>
            <w:noWrap/>
            <w:vAlign w:val="bottom"/>
            <w:hideMark/>
          </w:tcPr>
          <w:p w14:paraId="5914BC79"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2,3%</w:t>
            </w:r>
          </w:p>
        </w:tc>
      </w:tr>
      <w:tr w:rsidR="00893FF5" w:rsidRPr="002F0741" w14:paraId="26FDC251" w14:textId="77777777" w:rsidTr="00893FF5">
        <w:trPr>
          <w:trHeight w:val="20"/>
        </w:trPr>
        <w:tc>
          <w:tcPr>
            <w:tcW w:w="214" w:type="pct"/>
            <w:shd w:val="clear" w:color="auto" w:fill="auto"/>
            <w:noWrap/>
            <w:vAlign w:val="bottom"/>
            <w:hideMark/>
          </w:tcPr>
          <w:p w14:paraId="1554712B"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16</w:t>
            </w:r>
          </w:p>
        </w:tc>
        <w:tc>
          <w:tcPr>
            <w:tcW w:w="515" w:type="pct"/>
            <w:shd w:val="clear" w:color="auto" w:fill="auto"/>
            <w:noWrap/>
            <w:vAlign w:val="bottom"/>
            <w:hideMark/>
          </w:tcPr>
          <w:p w14:paraId="63864101"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23.742,16 </w:t>
            </w:r>
          </w:p>
        </w:tc>
        <w:tc>
          <w:tcPr>
            <w:tcW w:w="380" w:type="pct"/>
            <w:shd w:val="clear" w:color="auto" w:fill="auto"/>
            <w:noWrap/>
            <w:vAlign w:val="bottom"/>
            <w:hideMark/>
          </w:tcPr>
          <w:p w14:paraId="3078C105"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15" w:type="pct"/>
            <w:shd w:val="clear" w:color="auto" w:fill="auto"/>
            <w:noWrap/>
            <w:vAlign w:val="bottom"/>
            <w:hideMark/>
          </w:tcPr>
          <w:p w14:paraId="2391A7BF"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29.841,60 </w:t>
            </w:r>
          </w:p>
        </w:tc>
        <w:tc>
          <w:tcPr>
            <w:tcW w:w="418" w:type="pct"/>
            <w:shd w:val="clear" w:color="auto" w:fill="auto"/>
            <w:noWrap/>
            <w:vAlign w:val="bottom"/>
            <w:hideMark/>
          </w:tcPr>
          <w:p w14:paraId="25DD1671"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1.881,60 </w:t>
            </w:r>
          </w:p>
        </w:tc>
        <w:tc>
          <w:tcPr>
            <w:tcW w:w="553" w:type="pct"/>
            <w:shd w:val="clear" w:color="auto" w:fill="auto"/>
            <w:noWrap/>
            <w:vAlign w:val="bottom"/>
            <w:hideMark/>
          </w:tcPr>
          <w:p w14:paraId="2DB2AE8A"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463.971,54 </w:t>
            </w:r>
          </w:p>
        </w:tc>
        <w:tc>
          <w:tcPr>
            <w:tcW w:w="629" w:type="pct"/>
            <w:shd w:val="clear" w:color="auto" w:fill="auto"/>
            <w:noWrap/>
            <w:vAlign w:val="bottom"/>
            <w:hideMark/>
          </w:tcPr>
          <w:p w14:paraId="3ADEB488"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4.000,80 </w:t>
            </w:r>
          </w:p>
        </w:tc>
        <w:tc>
          <w:tcPr>
            <w:tcW w:w="553" w:type="pct"/>
            <w:shd w:val="clear" w:color="auto" w:fill="auto"/>
            <w:noWrap/>
            <w:vAlign w:val="bottom"/>
            <w:hideMark/>
          </w:tcPr>
          <w:p w14:paraId="0CC09B6D"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517.555,30 </w:t>
            </w:r>
          </w:p>
        </w:tc>
        <w:tc>
          <w:tcPr>
            <w:tcW w:w="457" w:type="pct"/>
            <w:shd w:val="clear" w:color="auto" w:fill="auto"/>
            <w:noWrap/>
            <w:vAlign w:val="bottom"/>
            <w:hideMark/>
          </w:tcPr>
          <w:p w14:paraId="54176C27"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5.882,40 </w:t>
            </w:r>
          </w:p>
        </w:tc>
        <w:tc>
          <w:tcPr>
            <w:tcW w:w="473" w:type="pct"/>
            <w:shd w:val="clear" w:color="auto" w:fill="auto"/>
            <w:noWrap/>
            <w:vAlign w:val="bottom"/>
            <w:hideMark/>
          </w:tcPr>
          <w:p w14:paraId="219CFFEB"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c>
          <w:tcPr>
            <w:tcW w:w="294" w:type="pct"/>
            <w:shd w:val="clear" w:color="auto" w:fill="auto"/>
            <w:noWrap/>
            <w:vAlign w:val="bottom"/>
            <w:hideMark/>
          </w:tcPr>
          <w:p w14:paraId="1F12957E"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6,3%</w:t>
            </w:r>
          </w:p>
        </w:tc>
      </w:tr>
      <w:tr w:rsidR="00893FF5" w:rsidRPr="002F0741" w14:paraId="5624882B" w14:textId="77777777" w:rsidTr="00893FF5">
        <w:trPr>
          <w:trHeight w:val="20"/>
        </w:trPr>
        <w:tc>
          <w:tcPr>
            <w:tcW w:w="214" w:type="pct"/>
            <w:shd w:val="clear" w:color="auto" w:fill="auto"/>
            <w:noWrap/>
            <w:vAlign w:val="bottom"/>
            <w:hideMark/>
          </w:tcPr>
          <w:p w14:paraId="70145219"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19</w:t>
            </w:r>
          </w:p>
        </w:tc>
        <w:tc>
          <w:tcPr>
            <w:tcW w:w="515" w:type="pct"/>
            <w:shd w:val="clear" w:color="auto" w:fill="auto"/>
            <w:noWrap/>
            <w:vAlign w:val="bottom"/>
            <w:hideMark/>
          </w:tcPr>
          <w:p w14:paraId="569E7D85"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58.959,16 </w:t>
            </w:r>
          </w:p>
        </w:tc>
        <w:tc>
          <w:tcPr>
            <w:tcW w:w="380" w:type="pct"/>
            <w:shd w:val="clear" w:color="auto" w:fill="auto"/>
            <w:noWrap/>
            <w:vAlign w:val="bottom"/>
            <w:hideMark/>
          </w:tcPr>
          <w:p w14:paraId="19423BA6"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676,49 </w:t>
            </w:r>
          </w:p>
        </w:tc>
        <w:tc>
          <w:tcPr>
            <w:tcW w:w="515" w:type="pct"/>
            <w:shd w:val="clear" w:color="auto" w:fill="auto"/>
            <w:noWrap/>
            <w:vAlign w:val="bottom"/>
            <w:hideMark/>
          </w:tcPr>
          <w:p w14:paraId="1CF70B1A"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281.974,93 </w:t>
            </w:r>
          </w:p>
        </w:tc>
        <w:tc>
          <w:tcPr>
            <w:tcW w:w="418" w:type="pct"/>
            <w:shd w:val="clear" w:color="auto" w:fill="auto"/>
            <w:noWrap/>
            <w:vAlign w:val="bottom"/>
            <w:hideMark/>
          </w:tcPr>
          <w:p w14:paraId="4C7195F9"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125,73 </w:t>
            </w:r>
          </w:p>
        </w:tc>
        <w:tc>
          <w:tcPr>
            <w:tcW w:w="553" w:type="pct"/>
            <w:shd w:val="clear" w:color="auto" w:fill="auto"/>
            <w:noWrap/>
            <w:vAlign w:val="bottom"/>
            <w:hideMark/>
          </w:tcPr>
          <w:p w14:paraId="3C934DC5"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2.118.565,05 </w:t>
            </w:r>
          </w:p>
        </w:tc>
        <w:tc>
          <w:tcPr>
            <w:tcW w:w="629" w:type="pct"/>
            <w:shd w:val="clear" w:color="auto" w:fill="auto"/>
            <w:noWrap/>
            <w:vAlign w:val="bottom"/>
            <w:hideMark/>
          </w:tcPr>
          <w:p w14:paraId="7A1B5003"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0,25 </w:t>
            </w:r>
          </w:p>
        </w:tc>
        <w:tc>
          <w:tcPr>
            <w:tcW w:w="553" w:type="pct"/>
            <w:shd w:val="clear" w:color="auto" w:fill="auto"/>
            <w:noWrap/>
            <w:vAlign w:val="bottom"/>
            <w:hideMark/>
          </w:tcPr>
          <w:p w14:paraId="04D96DF1"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2.459.499,14 </w:t>
            </w:r>
          </w:p>
        </w:tc>
        <w:tc>
          <w:tcPr>
            <w:tcW w:w="457" w:type="pct"/>
            <w:shd w:val="clear" w:color="auto" w:fill="auto"/>
            <w:noWrap/>
            <w:vAlign w:val="bottom"/>
            <w:hideMark/>
          </w:tcPr>
          <w:p w14:paraId="245B6AED"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802,47 </w:t>
            </w:r>
          </w:p>
        </w:tc>
        <w:tc>
          <w:tcPr>
            <w:tcW w:w="473" w:type="pct"/>
            <w:shd w:val="clear" w:color="auto" w:fill="auto"/>
            <w:noWrap/>
            <w:vAlign w:val="bottom"/>
            <w:hideMark/>
          </w:tcPr>
          <w:p w14:paraId="6221DEA9"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1,1%</w:t>
            </w:r>
          </w:p>
        </w:tc>
        <w:tc>
          <w:tcPr>
            <w:tcW w:w="294" w:type="pct"/>
            <w:shd w:val="clear" w:color="auto" w:fill="auto"/>
            <w:noWrap/>
            <w:vAlign w:val="bottom"/>
            <w:hideMark/>
          </w:tcPr>
          <w:p w14:paraId="4867EE0F"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r>
      <w:tr w:rsidR="00893FF5" w:rsidRPr="002F0741" w14:paraId="7ECD8BB3" w14:textId="77777777" w:rsidTr="00893FF5">
        <w:trPr>
          <w:trHeight w:val="20"/>
        </w:trPr>
        <w:tc>
          <w:tcPr>
            <w:tcW w:w="214" w:type="pct"/>
            <w:shd w:val="clear" w:color="auto" w:fill="auto"/>
            <w:noWrap/>
            <w:vAlign w:val="bottom"/>
            <w:hideMark/>
          </w:tcPr>
          <w:p w14:paraId="5288C7D7"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20</w:t>
            </w:r>
          </w:p>
        </w:tc>
        <w:tc>
          <w:tcPr>
            <w:tcW w:w="515" w:type="pct"/>
            <w:shd w:val="clear" w:color="auto" w:fill="auto"/>
            <w:noWrap/>
            <w:vAlign w:val="bottom"/>
            <w:hideMark/>
          </w:tcPr>
          <w:p w14:paraId="6467645C"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245.322,53 </w:t>
            </w:r>
          </w:p>
        </w:tc>
        <w:tc>
          <w:tcPr>
            <w:tcW w:w="380" w:type="pct"/>
            <w:shd w:val="clear" w:color="auto" w:fill="auto"/>
            <w:noWrap/>
            <w:vAlign w:val="bottom"/>
            <w:hideMark/>
          </w:tcPr>
          <w:p w14:paraId="6D8214C8"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15" w:type="pct"/>
            <w:shd w:val="clear" w:color="auto" w:fill="auto"/>
            <w:noWrap/>
            <w:vAlign w:val="bottom"/>
            <w:hideMark/>
          </w:tcPr>
          <w:p w14:paraId="3264240F"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439.745,95 </w:t>
            </w:r>
          </w:p>
        </w:tc>
        <w:tc>
          <w:tcPr>
            <w:tcW w:w="418" w:type="pct"/>
            <w:shd w:val="clear" w:color="auto" w:fill="auto"/>
            <w:noWrap/>
            <w:vAlign w:val="bottom"/>
            <w:hideMark/>
          </w:tcPr>
          <w:p w14:paraId="46C82067"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53" w:type="pct"/>
            <w:shd w:val="clear" w:color="auto" w:fill="auto"/>
            <w:noWrap/>
            <w:vAlign w:val="bottom"/>
            <w:hideMark/>
          </w:tcPr>
          <w:p w14:paraId="068FD7CD"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642.084,70 </w:t>
            </w:r>
          </w:p>
        </w:tc>
        <w:tc>
          <w:tcPr>
            <w:tcW w:w="629" w:type="pct"/>
            <w:shd w:val="clear" w:color="auto" w:fill="auto"/>
            <w:noWrap/>
            <w:vAlign w:val="bottom"/>
            <w:hideMark/>
          </w:tcPr>
          <w:p w14:paraId="575698C8"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553" w:type="pct"/>
            <w:shd w:val="clear" w:color="auto" w:fill="auto"/>
            <w:noWrap/>
            <w:vAlign w:val="bottom"/>
            <w:hideMark/>
          </w:tcPr>
          <w:p w14:paraId="30300B2C"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1.327.153,18 </w:t>
            </w:r>
          </w:p>
        </w:tc>
        <w:tc>
          <w:tcPr>
            <w:tcW w:w="457" w:type="pct"/>
            <w:shd w:val="clear" w:color="auto" w:fill="auto"/>
            <w:noWrap/>
            <w:vAlign w:val="bottom"/>
            <w:hideMark/>
          </w:tcPr>
          <w:p w14:paraId="3E295AA5" w14:textId="77777777" w:rsidR="002F0741" w:rsidRPr="002F0741" w:rsidRDefault="002F0741" w:rsidP="002F0741">
            <w:pPr>
              <w:rPr>
                <w:rFonts w:ascii="Aptos Narrow" w:hAnsi="Aptos Narrow"/>
                <w:color w:val="000000"/>
                <w:sz w:val="14"/>
                <w:szCs w:val="22"/>
              </w:rPr>
            </w:pPr>
            <w:r w:rsidRPr="002F0741">
              <w:rPr>
                <w:rFonts w:ascii="Aptos Narrow" w:hAnsi="Aptos Narrow"/>
                <w:color w:val="000000"/>
                <w:sz w:val="14"/>
                <w:szCs w:val="22"/>
              </w:rPr>
              <w:t xml:space="preserve">                -   </w:t>
            </w:r>
          </w:p>
        </w:tc>
        <w:tc>
          <w:tcPr>
            <w:tcW w:w="473" w:type="pct"/>
            <w:shd w:val="clear" w:color="auto" w:fill="auto"/>
            <w:noWrap/>
            <w:vAlign w:val="bottom"/>
            <w:hideMark/>
          </w:tcPr>
          <w:p w14:paraId="5387469B"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c>
          <w:tcPr>
            <w:tcW w:w="294" w:type="pct"/>
            <w:shd w:val="clear" w:color="auto" w:fill="auto"/>
            <w:noWrap/>
            <w:vAlign w:val="bottom"/>
            <w:hideMark/>
          </w:tcPr>
          <w:p w14:paraId="07AC79E9" w14:textId="77777777" w:rsidR="002F0741" w:rsidRPr="002F0741" w:rsidRDefault="002F0741" w:rsidP="002F0741">
            <w:pPr>
              <w:jc w:val="right"/>
              <w:rPr>
                <w:rFonts w:ascii="Aptos Narrow" w:hAnsi="Aptos Narrow"/>
                <w:color w:val="000000"/>
                <w:sz w:val="14"/>
                <w:szCs w:val="22"/>
              </w:rPr>
            </w:pPr>
            <w:r w:rsidRPr="002F0741">
              <w:rPr>
                <w:rFonts w:ascii="Aptos Narrow" w:hAnsi="Aptos Narrow"/>
                <w:color w:val="000000"/>
                <w:sz w:val="14"/>
                <w:szCs w:val="22"/>
              </w:rPr>
              <w:t>0,0%</w:t>
            </w:r>
          </w:p>
        </w:tc>
      </w:tr>
      <w:tr w:rsidR="00893FF5" w:rsidRPr="002F0741" w14:paraId="295F4C70" w14:textId="77777777" w:rsidTr="00893FF5">
        <w:trPr>
          <w:trHeight w:val="20"/>
        </w:trPr>
        <w:tc>
          <w:tcPr>
            <w:tcW w:w="214" w:type="pct"/>
            <w:shd w:val="clear" w:color="auto" w:fill="auto"/>
            <w:noWrap/>
            <w:vAlign w:val="bottom"/>
            <w:hideMark/>
          </w:tcPr>
          <w:p w14:paraId="2E754ABD" w14:textId="11F5E013" w:rsidR="002F0741" w:rsidRPr="002F0741" w:rsidRDefault="002F0741" w:rsidP="002F0741">
            <w:pPr>
              <w:rPr>
                <w:rFonts w:ascii="Aptos Narrow" w:hAnsi="Aptos Narrow"/>
                <w:b/>
                <w:bCs/>
                <w:color w:val="000000"/>
                <w:sz w:val="14"/>
                <w:szCs w:val="22"/>
              </w:rPr>
            </w:pPr>
            <w:r w:rsidRPr="002F0741">
              <w:rPr>
                <w:rFonts w:ascii="Aptos Narrow" w:hAnsi="Aptos Narrow"/>
                <w:b/>
                <w:bCs/>
                <w:color w:val="000000"/>
                <w:sz w:val="14"/>
                <w:szCs w:val="22"/>
              </w:rPr>
              <w:t>Tot.</w:t>
            </w:r>
          </w:p>
        </w:tc>
        <w:tc>
          <w:tcPr>
            <w:tcW w:w="515" w:type="pct"/>
            <w:shd w:val="clear" w:color="auto" w:fill="auto"/>
            <w:noWrap/>
            <w:vAlign w:val="bottom"/>
            <w:hideMark/>
          </w:tcPr>
          <w:p w14:paraId="64C1001C" w14:textId="77777777" w:rsidR="002F0741" w:rsidRPr="002F0741" w:rsidRDefault="002F0741" w:rsidP="002F0741">
            <w:pPr>
              <w:rPr>
                <w:rFonts w:ascii="Aptos Narrow" w:hAnsi="Aptos Narrow"/>
                <w:b/>
                <w:bCs/>
                <w:color w:val="000000"/>
                <w:sz w:val="14"/>
                <w:szCs w:val="22"/>
              </w:rPr>
            </w:pPr>
            <w:r w:rsidRPr="002F0741">
              <w:rPr>
                <w:rFonts w:ascii="Aptos Narrow" w:hAnsi="Aptos Narrow"/>
                <w:b/>
                <w:bCs/>
                <w:color w:val="000000"/>
                <w:sz w:val="14"/>
                <w:szCs w:val="22"/>
              </w:rPr>
              <w:t xml:space="preserve">  2.279.033,90 </w:t>
            </w:r>
          </w:p>
        </w:tc>
        <w:tc>
          <w:tcPr>
            <w:tcW w:w="380" w:type="pct"/>
            <w:shd w:val="clear" w:color="auto" w:fill="auto"/>
            <w:noWrap/>
            <w:vAlign w:val="bottom"/>
            <w:hideMark/>
          </w:tcPr>
          <w:p w14:paraId="5B2E2F00" w14:textId="77777777" w:rsidR="002F0741" w:rsidRPr="002F0741" w:rsidRDefault="002F0741" w:rsidP="002F0741">
            <w:pPr>
              <w:rPr>
                <w:rFonts w:ascii="Aptos Narrow" w:hAnsi="Aptos Narrow"/>
                <w:b/>
                <w:bCs/>
                <w:color w:val="000000"/>
                <w:sz w:val="14"/>
                <w:szCs w:val="22"/>
              </w:rPr>
            </w:pPr>
            <w:r w:rsidRPr="002F0741">
              <w:rPr>
                <w:rFonts w:ascii="Aptos Narrow" w:hAnsi="Aptos Narrow"/>
                <w:b/>
                <w:bCs/>
                <w:color w:val="000000"/>
                <w:sz w:val="14"/>
                <w:szCs w:val="22"/>
              </w:rPr>
              <w:t xml:space="preserve">  4.874,93 </w:t>
            </w:r>
          </w:p>
        </w:tc>
        <w:tc>
          <w:tcPr>
            <w:tcW w:w="515" w:type="pct"/>
            <w:shd w:val="clear" w:color="auto" w:fill="auto"/>
            <w:noWrap/>
            <w:vAlign w:val="bottom"/>
            <w:hideMark/>
          </w:tcPr>
          <w:p w14:paraId="15CE045F" w14:textId="77777777" w:rsidR="002F0741" w:rsidRPr="002F0741" w:rsidRDefault="002F0741" w:rsidP="002F0741">
            <w:pPr>
              <w:rPr>
                <w:rFonts w:ascii="Aptos Narrow" w:hAnsi="Aptos Narrow"/>
                <w:b/>
                <w:bCs/>
                <w:color w:val="000000"/>
                <w:sz w:val="14"/>
                <w:szCs w:val="22"/>
              </w:rPr>
            </w:pPr>
            <w:r w:rsidRPr="002F0741">
              <w:rPr>
                <w:rFonts w:ascii="Aptos Narrow" w:hAnsi="Aptos Narrow"/>
                <w:b/>
                <w:bCs/>
                <w:color w:val="000000"/>
                <w:sz w:val="14"/>
                <w:szCs w:val="22"/>
              </w:rPr>
              <w:t xml:space="preserve">  2.588.519,83 </w:t>
            </w:r>
          </w:p>
        </w:tc>
        <w:tc>
          <w:tcPr>
            <w:tcW w:w="418" w:type="pct"/>
            <w:shd w:val="clear" w:color="auto" w:fill="auto"/>
            <w:noWrap/>
            <w:vAlign w:val="bottom"/>
            <w:hideMark/>
          </w:tcPr>
          <w:p w14:paraId="1B8A5D2C" w14:textId="77777777" w:rsidR="002F0741" w:rsidRPr="002F0741" w:rsidRDefault="002F0741" w:rsidP="002F0741">
            <w:pPr>
              <w:rPr>
                <w:rFonts w:ascii="Aptos Narrow" w:hAnsi="Aptos Narrow"/>
                <w:b/>
                <w:bCs/>
                <w:color w:val="000000"/>
                <w:sz w:val="14"/>
                <w:szCs w:val="22"/>
              </w:rPr>
            </w:pPr>
            <w:r w:rsidRPr="002F0741">
              <w:rPr>
                <w:rFonts w:ascii="Aptos Narrow" w:hAnsi="Aptos Narrow"/>
                <w:b/>
                <w:bCs/>
                <w:color w:val="000000"/>
                <w:sz w:val="14"/>
                <w:szCs w:val="22"/>
              </w:rPr>
              <w:t xml:space="preserve">  13.173,51 </w:t>
            </w:r>
          </w:p>
        </w:tc>
        <w:tc>
          <w:tcPr>
            <w:tcW w:w="553" w:type="pct"/>
            <w:shd w:val="clear" w:color="auto" w:fill="auto"/>
            <w:noWrap/>
            <w:vAlign w:val="bottom"/>
            <w:hideMark/>
          </w:tcPr>
          <w:p w14:paraId="26251E5A" w14:textId="77777777" w:rsidR="002F0741" w:rsidRPr="002F0741" w:rsidRDefault="002F0741" w:rsidP="002F0741">
            <w:pPr>
              <w:rPr>
                <w:rFonts w:ascii="Aptos Narrow" w:hAnsi="Aptos Narrow"/>
                <w:b/>
                <w:bCs/>
                <w:color w:val="000000"/>
                <w:sz w:val="14"/>
                <w:szCs w:val="22"/>
              </w:rPr>
            </w:pPr>
            <w:r w:rsidRPr="002F0741">
              <w:rPr>
                <w:rFonts w:ascii="Aptos Narrow" w:hAnsi="Aptos Narrow"/>
                <w:b/>
                <w:bCs/>
                <w:color w:val="000000"/>
                <w:sz w:val="14"/>
                <w:szCs w:val="22"/>
              </w:rPr>
              <w:t xml:space="preserve">  27.797.704,44 </w:t>
            </w:r>
          </w:p>
        </w:tc>
        <w:tc>
          <w:tcPr>
            <w:tcW w:w="629" w:type="pct"/>
            <w:shd w:val="clear" w:color="auto" w:fill="auto"/>
            <w:noWrap/>
            <w:vAlign w:val="bottom"/>
            <w:hideMark/>
          </w:tcPr>
          <w:p w14:paraId="790A3377" w14:textId="77777777" w:rsidR="002F0741" w:rsidRPr="002F0741" w:rsidRDefault="002F0741" w:rsidP="002F0741">
            <w:pPr>
              <w:rPr>
                <w:rFonts w:ascii="Aptos Narrow" w:hAnsi="Aptos Narrow"/>
                <w:b/>
                <w:bCs/>
                <w:color w:val="000000"/>
                <w:sz w:val="14"/>
                <w:szCs w:val="22"/>
              </w:rPr>
            </w:pPr>
            <w:r w:rsidRPr="002F0741">
              <w:rPr>
                <w:rFonts w:ascii="Aptos Narrow" w:hAnsi="Aptos Narrow"/>
                <w:b/>
                <w:bCs/>
                <w:color w:val="000000"/>
                <w:sz w:val="14"/>
                <w:szCs w:val="22"/>
              </w:rPr>
              <w:t xml:space="preserve">             84.474,88 </w:t>
            </w:r>
          </w:p>
        </w:tc>
        <w:tc>
          <w:tcPr>
            <w:tcW w:w="553" w:type="pct"/>
            <w:shd w:val="clear" w:color="auto" w:fill="auto"/>
            <w:noWrap/>
            <w:vAlign w:val="bottom"/>
            <w:hideMark/>
          </w:tcPr>
          <w:p w14:paraId="17655518" w14:textId="77777777" w:rsidR="002F0741" w:rsidRPr="002F0741" w:rsidRDefault="002F0741" w:rsidP="002F0741">
            <w:pPr>
              <w:rPr>
                <w:rFonts w:ascii="Aptos Narrow" w:hAnsi="Aptos Narrow"/>
                <w:b/>
                <w:bCs/>
                <w:color w:val="000000"/>
                <w:sz w:val="14"/>
                <w:szCs w:val="22"/>
              </w:rPr>
            </w:pPr>
            <w:r w:rsidRPr="002F0741">
              <w:rPr>
                <w:rFonts w:ascii="Aptos Narrow" w:hAnsi="Aptos Narrow"/>
                <w:b/>
                <w:bCs/>
                <w:color w:val="000000"/>
                <w:sz w:val="14"/>
                <w:szCs w:val="22"/>
              </w:rPr>
              <w:t xml:space="preserve">  32.665.258,17 </w:t>
            </w:r>
          </w:p>
        </w:tc>
        <w:tc>
          <w:tcPr>
            <w:tcW w:w="457" w:type="pct"/>
            <w:shd w:val="clear" w:color="auto" w:fill="auto"/>
            <w:noWrap/>
            <w:vAlign w:val="bottom"/>
            <w:hideMark/>
          </w:tcPr>
          <w:p w14:paraId="257E2CBF" w14:textId="77777777" w:rsidR="002F0741" w:rsidRPr="002F0741" w:rsidRDefault="002F0741" w:rsidP="002F0741">
            <w:pPr>
              <w:rPr>
                <w:rFonts w:ascii="Aptos Narrow" w:hAnsi="Aptos Narrow"/>
                <w:b/>
                <w:bCs/>
                <w:color w:val="000000"/>
                <w:sz w:val="14"/>
                <w:szCs w:val="22"/>
              </w:rPr>
            </w:pPr>
            <w:r w:rsidRPr="002F0741">
              <w:rPr>
                <w:rFonts w:ascii="Aptos Narrow" w:hAnsi="Aptos Narrow"/>
                <w:b/>
                <w:bCs/>
                <w:color w:val="000000"/>
                <w:sz w:val="14"/>
                <w:szCs w:val="22"/>
              </w:rPr>
              <w:t xml:space="preserve">  102.523,32 </w:t>
            </w:r>
          </w:p>
        </w:tc>
        <w:tc>
          <w:tcPr>
            <w:tcW w:w="473" w:type="pct"/>
            <w:shd w:val="clear" w:color="auto" w:fill="auto"/>
            <w:noWrap/>
            <w:vAlign w:val="bottom"/>
            <w:hideMark/>
          </w:tcPr>
          <w:p w14:paraId="7487699C" w14:textId="77777777" w:rsidR="002F0741" w:rsidRPr="002F0741" w:rsidRDefault="002F0741" w:rsidP="002F0741">
            <w:pPr>
              <w:jc w:val="right"/>
              <w:rPr>
                <w:rFonts w:ascii="Aptos Narrow" w:hAnsi="Aptos Narrow"/>
                <w:b/>
                <w:bCs/>
                <w:color w:val="000000"/>
                <w:sz w:val="14"/>
                <w:szCs w:val="22"/>
              </w:rPr>
            </w:pPr>
            <w:r w:rsidRPr="002F0741">
              <w:rPr>
                <w:rFonts w:ascii="Aptos Narrow" w:hAnsi="Aptos Narrow"/>
                <w:b/>
                <w:bCs/>
                <w:color w:val="000000"/>
                <w:sz w:val="14"/>
                <w:szCs w:val="22"/>
              </w:rPr>
              <w:t>0,2%</w:t>
            </w:r>
          </w:p>
        </w:tc>
        <w:tc>
          <w:tcPr>
            <w:tcW w:w="294" w:type="pct"/>
            <w:shd w:val="clear" w:color="auto" w:fill="auto"/>
            <w:noWrap/>
            <w:vAlign w:val="bottom"/>
            <w:hideMark/>
          </w:tcPr>
          <w:p w14:paraId="09EB77CB" w14:textId="77777777" w:rsidR="002F0741" w:rsidRPr="002F0741" w:rsidRDefault="002F0741" w:rsidP="002F0741">
            <w:pPr>
              <w:jc w:val="right"/>
              <w:rPr>
                <w:rFonts w:ascii="Aptos Narrow" w:hAnsi="Aptos Narrow"/>
                <w:b/>
                <w:bCs/>
                <w:color w:val="000000"/>
                <w:sz w:val="14"/>
                <w:szCs w:val="22"/>
              </w:rPr>
            </w:pPr>
            <w:r w:rsidRPr="002F0741">
              <w:rPr>
                <w:rFonts w:ascii="Aptos Narrow" w:hAnsi="Aptos Narrow"/>
                <w:b/>
                <w:bCs/>
                <w:color w:val="000000"/>
                <w:sz w:val="14"/>
                <w:szCs w:val="22"/>
              </w:rPr>
              <w:t>0,5%</w:t>
            </w:r>
          </w:p>
        </w:tc>
      </w:tr>
    </w:tbl>
    <w:p w14:paraId="4763283A" w14:textId="01F18E69" w:rsidR="00162B67" w:rsidRDefault="00162B67" w:rsidP="00162B67">
      <w:pPr>
        <w:jc w:val="both"/>
        <w:rPr>
          <w:sz w:val="22"/>
          <w:szCs w:val="22"/>
        </w:rPr>
      </w:pPr>
    </w:p>
    <w:p w14:paraId="6F510FB9" w14:textId="1863D18A" w:rsidR="00AB22A5" w:rsidRDefault="00AB22A5" w:rsidP="00AB22A5">
      <w:pPr>
        <w:jc w:val="both"/>
        <w:rPr>
          <w:sz w:val="22"/>
          <w:szCs w:val="22"/>
        </w:rPr>
      </w:pPr>
      <w:r>
        <w:rPr>
          <w:sz w:val="22"/>
          <w:szCs w:val="22"/>
        </w:rPr>
        <w:t xml:space="preserve">Il grafico che segue (fig.4) mette a confronto il tasso di errore rilevato </w:t>
      </w:r>
      <w:r w:rsidR="00893FF5" w:rsidRPr="00893FF5">
        <w:rPr>
          <w:sz w:val="22"/>
          <w:szCs w:val="22"/>
        </w:rPr>
        <w:t>alla data del 15 luglio 2024</w:t>
      </w:r>
      <w:r w:rsidR="00893FF5">
        <w:rPr>
          <w:sz w:val="22"/>
          <w:szCs w:val="22"/>
        </w:rPr>
        <w:t xml:space="preserve"> (riferito all’annualità 2023)</w:t>
      </w:r>
      <w:r w:rsidR="00893FF5" w:rsidRPr="00893FF5">
        <w:rPr>
          <w:sz w:val="22"/>
          <w:szCs w:val="22"/>
        </w:rPr>
        <w:t xml:space="preserve"> </w:t>
      </w:r>
      <w:r w:rsidR="00893FF5">
        <w:rPr>
          <w:sz w:val="22"/>
          <w:szCs w:val="22"/>
        </w:rPr>
        <w:t xml:space="preserve">con quelli rilevati </w:t>
      </w:r>
      <w:r>
        <w:rPr>
          <w:sz w:val="22"/>
          <w:szCs w:val="22"/>
        </w:rPr>
        <w:t>al</w:t>
      </w:r>
      <w:r w:rsidR="00893FF5">
        <w:rPr>
          <w:sz w:val="22"/>
          <w:szCs w:val="22"/>
        </w:rPr>
        <w:t>la data del</w:t>
      </w:r>
      <w:r>
        <w:rPr>
          <w:sz w:val="22"/>
          <w:szCs w:val="22"/>
        </w:rPr>
        <w:t xml:space="preserve"> 15/07/2021 (</w:t>
      </w:r>
      <w:r w:rsidR="00893FF5">
        <w:rPr>
          <w:sz w:val="22"/>
          <w:szCs w:val="22"/>
        </w:rPr>
        <w:t>riferito all’annualità 2020), del</w:t>
      </w:r>
      <w:r>
        <w:rPr>
          <w:sz w:val="22"/>
          <w:szCs w:val="22"/>
        </w:rPr>
        <w:t xml:space="preserve"> 15/07/202</w:t>
      </w:r>
      <w:r w:rsidR="00893FF5">
        <w:rPr>
          <w:sz w:val="22"/>
          <w:szCs w:val="22"/>
        </w:rPr>
        <w:t>2 (riferito all’annualità 2021) e del</w:t>
      </w:r>
      <w:r>
        <w:rPr>
          <w:sz w:val="22"/>
          <w:szCs w:val="22"/>
        </w:rPr>
        <w:t xml:space="preserve"> 15/07/202</w:t>
      </w:r>
      <w:r w:rsidR="00893FF5">
        <w:rPr>
          <w:sz w:val="22"/>
          <w:szCs w:val="22"/>
        </w:rPr>
        <w:t>3 (riferito all’annualità 2022).</w:t>
      </w:r>
    </w:p>
    <w:p w14:paraId="13D52A17" w14:textId="77777777" w:rsidR="00AB22A5" w:rsidRDefault="00AB22A5" w:rsidP="00AB22A5">
      <w:pPr>
        <w:jc w:val="both"/>
        <w:rPr>
          <w:sz w:val="22"/>
          <w:szCs w:val="22"/>
        </w:rPr>
      </w:pPr>
    </w:p>
    <w:p w14:paraId="1ECE1DB5" w14:textId="713B10A8" w:rsidR="00AB22A5" w:rsidRDefault="00893FF5" w:rsidP="00AB22A5">
      <w:pPr>
        <w:jc w:val="both"/>
        <w:rPr>
          <w:b/>
          <w:bCs/>
          <w:sz w:val="18"/>
          <w:szCs w:val="18"/>
        </w:rPr>
      </w:pPr>
      <w:r>
        <w:rPr>
          <w:noProof/>
        </w:rPr>
        <w:drawing>
          <wp:inline distT="0" distB="0" distL="0" distR="0" wp14:anchorId="01FAF7EB" wp14:editId="10BAE8FA">
            <wp:extent cx="5564038" cy="2794959"/>
            <wp:effectExtent l="0" t="0" r="17780" b="5715"/>
            <wp:docPr id="1" name="Grafico 1">
              <a:extLst xmlns:a="http://schemas.openxmlformats.org/drawingml/2006/main">
                <a:ext uri="{FF2B5EF4-FFF2-40B4-BE49-F238E27FC236}">
                  <a16:creationId xmlns:a16="http://schemas.microsoft.com/office/drawing/2014/main" id="{D8C1AB96-42E9-7850-AA33-0E3938B0DB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5BB63D0" w14:textId="6B9196BB" w:rsidR="00893FF5" w:rsidRDefault="00893FF5" w:rsidP="00AB22A5">
      <w:pPr>
        <w:jc w:val="both"/>
        <w:rPr>
          <w:b/>
          <w:bCs/>
          <w:sz w:val="18"/>
          <w:szCs w:val="18"/>
        </w:rPr>
      </w:pPr>
    </w:p>
    <w:p w14:paraId="64566B83" w14:textId="77777777" w:rsidR="00AB22A5" w:rsidRPr="00E87948" w:rsidRDefault="00AB22A5" w:rsidP="00AB22A5">
      <w:pPr>
        <w:jc w:val="both"/>
        <w:rPr>
          <w:sz w:val="18"/>
          <w:szCs w:val="18"/>
        </w:rPr>
      </w:pPr>
      <w:r w:rsidRPr="00E87948">
        <w:rPr>
          <w:b/>
          <w:bCs/>
          <w:sz w:val="18"/>
          <w:szCs w:val="18"/>
        </w:rPr>
        <w:t xml:space="preserve">Fig. </w:t>
      </w:r>
      <w:r>
        <w:rPr>
          <w:b/>
          <w:bCs/>
          <w:sz w:val="18"/>
          <w:szCs w:val="18"/>
        </w:rPr>
        <w:t>4</w:t>
      </w:r>
      <w:r w:rsidRPr="00E87948">
        <w:rPr>
          <w:sz w:val="18"/>
          <w:szCs w:val="18"/>
        </w:rPr>
        <w:t xml:space="preserve"> - Raffronto tasso di errore annualità </w:t>
      </w:r>
      <w:r>
        <w:rPr>
          <w:sz w:val="18"/>
          <w:szCs w:val="18"/>
        </w:rPr>
        <w:t>2020, 2021, 2022 e 2023</w:t>
      </w:r>
      <w:r w:rsidRPr="00E87948">
        <w:rPr>
          <w:sz w:val="18"/>
          <w:szCs w:val="18"/>
        </w:rPr>
        <w:t xml:space="preserve"> (i valori sono espressi in percentuale)</w:t>
      </w:r>
      <w:r>
        <w:rPr>
          <w:sz w:val="18"/>
          <w:szCs w:val="18"/>
        </w:rPr>
        <w:t>.</w:t>
      </w:r>
    </w:p>
    <w:p w14:paraId="4B30E446" w14:textId="75508E18" w:rsidR="00AB22A5" w:rsidRDefault="00AB22A5" w:rsidP="00162B67">
      <w:pPr>
        <w:jc w:val="both"/>
        <w:rPr>
          <w:sz w:val="22"/>
          <w:szCs w:val="22"/>
        </w:rPr>
      </w:pPr>
    </w:p>
    <w:p w14:paraId="14A5A363" w14:textId="6F2CA6FB" w:rsidR="00AB22A5" w:rsidRPr="00162B67" w:rsidRDefault="00AB22A5" w:rsidP="00162B67">
      <w:pPr>
        <w:jc w:val="both"/>
        <w:rPr>
          <w:sz w:val="22"/>
          <w:szCs w:val="22"/>
        </w:rPr>
      </w:pPr>
    </w:p>
    <w:p w14:paraId="18BD86FC" w14:textId="7A5CA956" w:rsidR="006C21F2" w:rsidRPr="00762FC2" w:rsidRDefault="00762FC2" w:rsidP="00095721">
      <w:pPr>
        <w:jc w:val="both"/>
        <w:rPr>
          <w:b/>
          <w:bCs/>
          <w:sz w:val="22"/>
          <w:szCs w:val="22"/>
        </w:rPr>
      </w:pPr>
      <w:r w:rsidRPr="00762FC2">
        <w:rPr>
          <w:b/>
          <w:bCs/>
          <w:sz w:val="22"/>
          <w:szCs w:val="22"/>
        </w:rPr>
        <w:t>2.2 AZIONI DI RIDUZIONE DEL TASSO DI ERRORE</w:t>
      </w:r>
    </w:p>
    <w:p w14:paraId="6DD0E290" w14:textId="005EEA1A" w:rsidR="00625CD2" w:rsidRDefault="00BB5B2C" w:rsidP="00625CD2">
      <w:pPr>
        <w:jc w:val="both"/>
        <w:rPr>
          <w:sz w:val="22"/>
          <w:szCs w:val="22"/>
        </w:rPr>
      </w:pPr>
      <w:r>
        <w:rPr>
          <w:sz w:val="22"/>
          <w:szCs w:val="22"/>
        </w:rPr>
        <w:t>In riferimento a t</w:t>
      </w:r>
      <w:r w:rsidR="00924C8C">
        <w:rPr>
          <w:sz w:val="22"/>
          <w:szCs w:val="22"/>
        </w:rPr>
        <w:t xml:space="preserve">alune </w:t>
      </w:r>
      <w:r w:rsidR="00924C8C" w:rsidRPr="000F6E0B">
        <w:rPr>
          <w:b/>
          <w:bCs/>
          <w:sz w:val="22"/>
          <w:szCs w:val="22"/>
        </w:rPr>
        <w:t>cause d’errore</w:t>
      </w:r>
      <w:r w:rsidR="00924C8C">
        <w:rPr>
          <w:sz w:val="22"/>
          <w:szCs w:val="22"/>
        </w:rPr>
        <w:t xml:space="preserve"> (</w:t>
      </w:r>
      <w:proofErr w:type="spellStart"/>
      <w:r w:rsidR="00924C8C">
        <w:rPr>
          <w:sz w:val="22"/>
          <w:szCs w:val="22"/>
        </w:rPr>
        <w:t>cfr</w:t>
      </w:r>
      <w:proofErr w:type="spellEnd"/>
      <w:r w:rsidR="00924C8C">
        <w:rPr>
          <w:sz w:val="22"/>
          <w:szCs w:val="22"/>
        </w:rPr>
        <w:t xml:space="preserve"> </w:t>
      </w:r>
      <w:proofErr w:type="spellStart"/>
      <w:r w:rsidR="00924C8C">
        <w:rPr>
          <w:sz w:val="22"/>
          <w:szCs w:val="22"/>
        </w:rPr>
        <w:t>tab</w:t>
      </w:r>
      <w:r w:rsidR="002C1BD0">
        <w:rPr>
          <w:sz w:val="22"/>
          <w:szCs w:val="22"/>
        </w:rPr>
        <w:t>b</w:t>
      </w:r>
      <w:proofErr w:type="spellEnd"/>
      <w:r w:rsidR="00924C8C">
        <w:rPr>
          <w:sz w:val="22"/>
          <w:szCs w:val="22"/>
        </w:rPr>
        <w:t xml:space="preserve">. </w:t>
      </w:r>
      <w:r w:rsidR="002C1BD0">
        <w:rPr>
          <w:sz w:val="22"/>
          <w:szCs w:val="22"/>
        </w:rPr>
        <w:t>2 e 3</w:t>
      </w:r>
      <w:r>
        <w:rPr>
          <w:sz w:val="22"/>
          <w:szCs w:val="22"/>
        </w:rPr>
        <w:t>)</w:t>
      </w:r>
      <w:r w:rsidR="00762FC2">
        <w:rPr>
          <w:sz w:val="22"/>
          <w:szCs w:val="22"/>
        </w:rPr>
        <w:t>, nel presente paragrafo</w:t>
      </w:r>
      <w:r>
        <w:rPr>
          <w:sz w:val="22"/>
          <w:szCs w:val="22"/>
        </w:rPr>
        <w:t xml:space="preserve"> </w:t>
      </w:r>
      <w:r w:rsidR="0085381D">
        <w:rPr>
          <w:sz w:val="22"/>
          <w:szCs w:val="22"/>
        </w:rPr>
        <w:t xml:space="preserve">si dà evidenza </w:t>
      </w:r>
      <w:r w:rsidR="00064721">
        <w:rPr>
          <w:sz w:val="22"/>
          <w:szCs w:val="22"/>
        </w:rPr>
        <w:t xml:space="preserve">delle </w:t>
      </w:r>
      <w:r w:rsidR="0001454A">
        <w:rPr>
          <w:sz w:val="22"/>
          <w:szCs w:val="22"/>
        </w:rPr>
        <w:t xml:space="preserve">principali </w:t>
      </w:r>
      <w:r w:rsidR="00064721" w:rsidRPr="000F6E0B">
        <w:rPr>
          <w:b/>
          <w:bCs/>
          <w:sz w:val="22"/>
          <w:szCs w:val="22"/>
        </w:rPr>
        <w:t>azioni</w:t>
      </w:r>
      <w:r w:rsidR="005E64F3" w:rsidRPr="000F6E0B">
        <w:rPr>
          <w:b/>
          <w:bCs/>
          <w:sz w:val="22"/>
          <w:szCs w:val="22"/>
        </w:rPr>
        <w:t xml:space="preserve"> correttive e</w:t>
      </w:r>
      <w:r w:rsidR="00064721" w:rsidRPr="000F6E0B">
        <w:rPr>
          <w:b/>
          <w:bCs/>
          <w:sz w:val="22"/>
          <w:szCs w:val="22"/>
        </w:rPr>
        <w:t xml:space="preserve"> </w:t>
      </w:r>
      <w:r w:rsidR="005E64F3" w:rsidRPr="000F6E0B">
        <w:rPr>
          <w:b/>
          <w:bCs/>
          <w:sz w:val="22"/>
          <w:szCs w:val="22"/>
        </w:rPr>
        <w:t>preventive</w:t>
      </w:r>
      <w:r w:rsidR="005E64F3" w:rsidRPr="005E64F3">
        <w:rPr>
          <w:sz w:val="22"/>
          <w:szCs w:val="22"/>
        </w:rPr>
        <w:t xml:space="preserve"> individuate </w:t>
      </w:r>
      <w:r w:rsidR="00B903E1" w:rsidRPr="00095721">
        <w:rPr>
          <w:sz w:val="22"/>
          <w:szCs w:val="22"/>
        </w:rPr>
        <w:t>dall’Ad</w:t>
      </w:r>
      <w:r w:rsidR="0004072F">
        <w:rPr>
          <w:sz w:val="22"/>
          <w:szCs w:val="22"/>
        </w:rPr>
        <w:t>G</w:t>
      </w:r>
      <w:r w:rsidR="00B903E1" w:rsidRPr="00095721">
        <w:rPr>
          <w:sz w:val="22"/>
          <w:szCs w:val="22"/>
        </w:rPr>
        <w:t xml:space="preserve"> </w:t>
      </w:r>
      <w:r w:rsidR="00E50BCB" w:rsidRPr="00095721">
        <w:rPr>
          <w:sz w:val="22"/>
          <w:szCs w:val="22"/>
        </w:rPr>
        <w:t xml:space="preserve">per </w:t>
      </w:r>
      <w:r w:rsidR="00B903E1" w:rsidRPr="00095721">
        <w:rPr>
          <w:sz w:val="22"/>
          <w:szCs w:val="22"/>
        </w:rPr>
        <w:t xml:space="preserve">ridurre il tasso di </w:t>
      </w:r>
      <w:r w:rsidR="00B903E1" w:rsidRPr="00475479">
        <w:rPr>
          <w:sz w:val="22"/>
          <w:szCs w:val="22"/>
        </w:rPr>
        <w:t xml:space="preserve">errore </w:t>
      </w:r>
      <w:r w:rsidR="00E50BCB" w:rsidRPr="00475479">
        <w:rPr>
          <w:sz w:val="22"/>
          <w:szCs w:val="22"/>
        </w:rPr>
        <w:t>sugli interventi finanziati nell’ambito delle misure strutturali e a superficie</w:t>
      </w:r>
      <w:r w:rsidR="00384F24">
        <w:rPr>
          <w:sz w:val="22"/>
          <w:szCs w:val="22"/>
        </w:rPr>
        <w:t>.</w:t>
      </w:r>
    </w:p>
    <w:p w14:paraId="0EF69C7E" w14:textId="781DED1A" w:rsidR="00F67E06" w:rsidRPr="00802AFC" w:rsidRDefault="00F67E06" w:rsidP="00F67E06">
      <w:pPr>
        <w:pStyle w:val="Paragrafoelenco"/>
        <w:numPr>
          <w:ilvl w:val="0"/>
          <w:numId w:val="2"/>
        </w:numPr>
        <w:jc w:val="both"/>
        <w:rPr>
          <w:sz w:val="22"/>
          <w:szCs w:val="22"/>
        </w:rPr>
      </w:pPr>
      <w:r>
        <w:rPr>
          <w:b/>
          <w:bCs/>
          <w:sz w:val="22"/>
          <w:szCs w:val="22"/>
        </w:rPr>
        <w:t xml:space="preserve">CAUSA D’ERRORE: </w:t>
      </w:r>
      <w:r w:rsidRPr="00BE2611">
        <w:rPr>
          <w:b/>
          <w:bCs/>
          <w:sz w:val="22"/>
          <w:szCs w:val="22"/>
          <w:u w:val="single"/>
        </w:rPr>
        <w:t>RC-RD1</w:t>
      </w:r>
      <w:r w:rsidRPr="00802AFC">
        <w:rPr>
          <w:b/>
          <w:bCs/>
          <w:sz w:val="22"/>
          <w:szCs w:val="22"/>
        </w:rPr>
        <w:t xml:space="preserve"> </w:t>
      </w:r>
      <w:r>
        <w:rPr>
          <w:b/>
          <w:bCs/>
          <w:sz w:val="22"/>
          <w:szCs w:val="22"/>
        </w:rPr>
        <w:t>Il sistema di riduzioni in caso di violazione degli impegni agroambientali non era proporzionato</w:t>
      </w:r>
    </w:p>
    <w:p w14:paraId="25DE3556" w14:textId="77777777" w:rsidR="00F67E06" w:rsidRDefault="00F67E06" w:rsidP="00F67E06">
      <w:pPr>
        <w:pStyle w:val="Paragrafoelenco"/>
        <w:ind w:left="360"/>
        <w:jc w:val="both"/>
        <w:rPr>
          <w:b/>
          <w:bCs/>
          <w:sz w:val="22"/>
          <w:szCs w:val="22"/>
        </w:rPr>
      </w:pPr>
      <w:r>
        <w:rPr>
          <w:b/>
          <w:bCs/>
          <w:sz w:val="22"/>
          <w:szCs w:val="22"/>
        </w:rPr>
        <w:t xml:space="preserve">AZIONI CORRETTIVE E PREVENTIVE: </w:t>
      </w:r>
    </w:p>
    <w:p w14:paraId="43758831" w14:textId="0122D1F8" w:rsidR="00F67E06" w:rsidRPr="00F67E06" w:rsidRDefault="00F67E06" w:rsidP="00F67E06">
      <w:pPr>
        <w:pStyle w:val="Paragrafoelenco"/>
        <w:ind w:left="360"/>
        <w:jc w:val="both"/>
        <w:rPr>
          <w:sz w:val="22"/>
          <w:szCs w:val="22"/>
        </w:rPr>
      </w:pPr>
      <w:r w:rsidRPr="00F67E06">
        <w:rPr>
          <w:sz w:val="22"/>
          <w:szCs w:val="22"/>
        </w:rPr>
        <w:lastRenderedPageBreak/>
        <w:t xml:space="preserve">- acquisto ed implementazione di </w:t>
      </w:r>
      <w:r w:rsidR="003215BE" w:rsidRPr="003215BE">
        <w:rPr>
          <w:sz w:val="22"/>
          <w:szCs w:val="22"/>
        </w:rPr>
        <w:t xml:space="preserve">una </w:t>
      </w:r>
      <w:r w:rsidR="003215BE" w:rsidRPr="00CB7591">
        <w:rPr>
          <w:b/>
          <w:bCs/>
          <w:sz w:val="22"/>
          <w:szCs w:val="22"/>
        </w:rPr>
        <w:t>piattaforma informatica</w:t>
      </w:r>
      <w:r w:rsidR="003215BE">
        <w:rPr>
          <w:sz w:val="22"/>
          <w:szCs w:val="22"/>
        </w:rPr>
        <w:t>,</w:t>
      </w:r>
      <w:r w:rsidR="003215BE" w:rsidRPr="003215BE">
        <w:rPr>
          <w:sz w:val="22"/>
          <w:szCs w:val="22"/>
        </w:rPr>
        <w:t xml:space="preserve"> </w:t>
      </w:r>
      <w:r w:rsidR="003215BE" w:rsidRPr="00F67E06">
        <w:rPr>
          <w:sz w:val="22"/>
          <w:szCs w:val="22"/>
        </w:rPr>
        <w:t>Abaco Farmer</w:t>
      </w:r>
      <w:r w:rsidR="003215BE">
        <w:rPr>
          <w:sz w:val="22"/>
          <w:szCs w:val="22"/>
        </w:rPr>
        <w:t xml:space="preserve">, </w:t>
      </w:r>
      <w:r w:rsidR="003215BE" w:rsidRPr="003215BE">
        <w:rPr>
          <w:sz w:val="22"/>
          <w:szCs w:val="22"/>
        </w:rPr>
        <w:t>per la gestione degli adempimenti legati all’agricoltura ecocompatibile e al regime di condizionalità</w:t>
      </w:r>
      <w:r w:rsidR="00821CF6">
        <w:rPr>
          <w:sz w:val="22"/>
          <w:szCs w:val="22"/>
        </w:rPr>
        <w:t xml:space="preserve"> (misure </w:t>
      </w:r>
      <w:r w:rsidR="00821CF6" w:rsidRPr="00821CF6">
        <w:rPr>
          <w:sz w:val="22"/>
          <w:szCs w:val="22"/>
        </w:rPr>
        <w:t>a superficie del PSR</w:t>
      </w:r>
      <w:r w:rsidR="00821CF6">
        <w:rPr>
          <w:sz w:val="22"/>
          <w:szCs w:val="22"/>
        </w:rPr>
        <w:t>);</w:t>
      </w:r>
    </w:p>
    <w:p w14:paraId="47487E6A" w14:textId="77777777" w:rsidR="00CB7591" w:rsidRPr="000E2E4A" w:rsidRDefault="00CB7591" w:rsidP="00CB7591">
      <w:pPr>
        <w:pStyle w:val="Paragrafoelenco"/>
        <w:numPr>
          <w:ilvl w:val="0"/>
          <w:numId w:val="2"/>
        </w:numPr>
        <w:jc w:val="both"/>
        <w:rPr>
          <w:sz w:val="22"/>
          <w:szCs w:val="22"/>
        </w:rPr>
      </w:pPr>
      <w:r>
        <w:rPr>
          <w:b/>
          <w:bCs/>
          <w:sz w:val="22"/>
          <w:szCs w:val="22"/>
        </w:rPr>
        <w:t xml:space="preserve">CAUSA D’ERRORE: </w:t>
      </w:r>
      <w:r w:rsidRPr="00BE2611">
        <w:rPr>
          <w:b/>
          <w:bCs/>
          <w:sz w:val="22"/>
          <w:szCs w:val="22"/>
          <w:u w:val="single"/>
        </w:rPr>
        <w:t>RC-RD10</w:t>
      </w:r>
      <w:r w:rsidRPr="005E64F3">
        <w:rPr>
          <w:b/>
          <w:bCs/>
          <w:sz w:val="22"/>
          <w:szCs w:val="22"/>
        </w:rPr>
        <w:t xml:space="preserve"> </w:t>
      </w:r>
      <w:r>
        <w:rPr>
          <w:b/>
          <w:bCs/>
          <w:sz w:val="22"/>
          <w:szCs w:val="22"/>
        </w:rPr>
        <w:t>Carenze nella verifica della ragionevolezza dei costi e dei criteri di ammissibilità</w:t>
      </w:r>
      <w:r w:rsidRPr="000D2412">
        <w:rPr>
          <w:b/>
          <w:bCs/>
          <w:sz w:val="22"/>
          <w:szCs w:val="22"/>
        </w:rPr>
        <w:t xml:space="preserve"> </w:t>
      </w:r>
    </w:p>
    <w:p w14:paraId="43268C03" w14:textId="77777777" w:rsidR="00CB7591" w:rsidRPr="000E2E4A" w:rsidRDefault="00CB7591" w:rsidP="00CB7591">
      <w:pPr>
        <w:pStyle w:val="Paragrafoelenco"/>
        <w:ind w:left="360"/>
        <w:jc w:val="both"/>
        <w:rPr>
          <w:b/>
          <w:bCs/>
          <w:sz w:val="22"/>
          <w:szCs w:val="22"/>
        </w:rPr>
      </w:pPr>
      <w:r>
        <w:rPr>
          <w:b/>
          <w:bCs/>
          <w:sz w:val="22"/>
          <w:szCs w:val="22"/>
        </w:rPr>
        <w:t xml:space="preserve">AZIONI CORRETTIVE E PREVENTIVE: </w:t>
      </w:r>
    </w:p>
    <w:p w14:paraId="69ED6557" w14:textId="75F8FF35" w:rsidR="000C335D" w:rsidRDefault="000C335D" w:rsidP="00CB7591">
      <w:pPr>
        <w:pStyle w:val="Paragrafoelenco"/>
        <w:ind w:left="360"/>
        <w:jc w:val="both"/>
        <w:rPr>
          <w:sz w:val="22"/>
          <w:szCs w:val="22"/>
        </w:rPr>
      </w:pPr>
      <w:r>
        <w:rPr>
          <w:sz w:val="22"/>
          <w:szCs w:val="22"/>
        </w:rPr>
        <w:t xml:space="preserve">- introduzione, per la SM 4.1 delle </w:t>
      </w:r>
      <w:r w:rsidRPr="00045520">
        <w:rPr>
          <w:b/>
          <w:sz w:val="22"/>
          <w:szCs w:val="22"/>
        </w:rPr>
        <w:t>opzioni semplificate di costo</w:t>
      </w:r>
      <w:r w:rsidRPr="000C335D">
        <w:rPr>
          <w:sz w:val="22"/>
          <w:szCs w:val="22"/>
        </w:rPr>
        <w:t xml:space="preserve"> elaborate a livello nazionale dalla Rete Rurale Nazionale, per la quantificazione delle spese ammissibili dei trattori, delle mietitrebbie, dei frantoi oleari e di progettazione</w:t>
      </w:r>
      <w:r>
        <w:rPr>
          <w:sz w:val="22"/>
          <w:szCs w:val="22"/>
        </w:rPr>
        <w:t>;</w:t>
      </w:r>
    </w:p>
    <w:p w14:paraId="6B350EE8" w14:textId="7F2E5819" w:rsidR="00045520" w:rsidRDefault="00045520" w:rsidP="00CB7591">
      <w:pPr>
        <w:pStyle w:val="Paragrafoelenco"/>
        <w:ind w:left="360"/>
        <w:jc w:val="both"/>
        <w:rPr>
          <w:sz w:val="22"/>
          <w:szCs w:val="22"/>
        </w:rPr>
      </w:pPr>
      <w:r>
        <w:rPr>
          <w:sz w:val="22"/>
          <w:szCs w:val="22"/>
        </w:rPr>
        <w:t>- con DGR n. 331 del 27/06/2022 è stato approvato il</w:t>
      </w:r>
      <w:r w:rsidRPr="00045520">
        <w:rPr>
          <w:sz w:val="22"/>
          <w:szCs w:val="22"/>
        </w:rPr>
        <w:t xml:space="preserve"> manuale operativo del “</w:t>
      </w:r>
      <w:r w:rsidRPr="00045520">
        <w:rPr>
          <w:b/>
          <w:sz w:val="22"/>
          <w:szCs w:val="22"/>
        </w:rPr>
        <w:t>Prezzario dei costi massimi</w:t>
      </w:r>
      <w:r w:rsidRPr="00045520">
        <w:rPr>
          <w:sz w:val="22"/>
          <w:szCs w:val="22"/>
        </w:rPr>
        <w:t xml:space="preserve"> di riferimento per macchine ed attrezzature agricole per la Regione Abruzzo” e adozione “Calcolatore dei costi di riferimento per macchine agricole”.</w:t>
      </w:r>
      <w:r>
        <w:rPr>
          <w:sz w:val="22"/>
          <w:szCs w:val="22"/>
        </w:rPr>
        <w:t xml:space="preserve"> Il prezzario introduce un n</w:t>
      </w:r>
      <w:r w:rsidRPr="00045520">
        <w:rPr>
          <w:sz w:val="22"/>
          <w:szCs w:val="22"/>
        </w:rPr>
        <w:t>uovo metodo di calcolo per la ragionevolezza dei costi delle misure ad investimento relative all’acquisto di macchine agricole (ad es. sottomisura 4.1 – 4.2)</w:t>
      </w:r>
      <w:r>
        <w:rPr>
          <w:sz w:val="22"/>
          <w:szCs w:val="22"/>
        </w:rPr>
        <w:t>;</w:t>
      </w:r>
    </w:p>
    <w:p w14:paraId="712937F6" w14:textId="25F788FA" w:rsidR="00313AE0" w:rsidRDefault="00313AE0" w:rsidP="00CB7591">
      <w:pPr>
        <w:pStyle w:val="Paragrafoelenco"/>
        <w:ind w:left="360"/>
        <w:jc w:val="both"/>
        <w:rPr>
          <w:sz w:val="22"/>
          <w:szCs w:val="22"/>
        </w:rPr>
      </w:pPr>
      <w:r>
        <w:rPr>
          <w:sz w:val="22"/>
          <w:szCs w:val="22"/>
        </w:rPr>
        <w:t>- c</w:t>
      </w:r>
      <w:r w:rsidRPr="00313AE0">
        <w:rPr>
          <w:sz w:val="22"/>
          <w:szCs w:val="22"/>
        </w:rPr>
        <w:t>on determinazione DPD/297 del 5.11.2024 è stato approvato l'avviso per indire un’indagine di mercato per l’individuazione degli operatori economici da invitare alla successiva procedura negoziata avente ad oggetto l’affidamento, ai sensi dell’articolo 50 comma 1, lettera e, del Decreto Legislativo 36/2023, del servizio per l’individuazione dei costi massimi di riferimento di macchine e attrezzature agricole.</w:t>
      </w:r>
    </w:p>
    <w:p w14:paraId="05135FF3" w14:textId="77777777" w:rsidR="00313AE0" w:rsidRPr="00095721" w:rsidRDefault="00313AE0" w:rsidP="00CB7591">
      <w:pPr>
        <w:pStyle w:val="Paragrafoelenco"/>
        <w:ind w:left="360"/>
        <w:jc w:val="both"/>
        <w:rPr>
          <w:sz w:val="22"/>
          <w:szCs w:val="22"/>
        </w:rPr>
      </w:pPr>
    </w:p>
    <w:p w14:paraId="57CD3553" w14:textId="77777777" w:rsidR="00CB7591" w:rsidRPr="00630417" w:rsidRDefault="00CB7591" w:rsidP="00CB7591">
      <w:pPr>
        <w:pStyle w:val="Paragrafoelenco"/>
        <w:numPr>
          <w:ilvl w:val="0"/>
          <w:numId w:val="2"/>
        </w:numPr>
        <w:jc w:val="both"/>
        <w:rPr>
          <w:sz w:val="22"/>
          <w:szCs w:val="22"/>
        </w:rPr>
      </w:pPr>
      <w:r>
        <w:rPr>
          <w:b/>
          <w:bCs/>
          <w:sz w:val="22"/>
          <w:szCs w:val="22"/>
        </w:rPr>
        <w:t xml:space="preserve">CAUSA D’ERRORE: </w:t>
      </w:r>
      <w:r w:rsidRPr="00BE2611">
        <w:rPr>
          <w:b/>
          <w:bCs/>
          <w:sz w:val="22"/>
          <w:szCs w:val="22"/>
          <w:u w:val="single"/>
        </w:rPr>
        <w:t>RC-RD11</w:t>
      </w:r>
      <w:r w:rsidRPr="005E64F3">
        <w:rPr>
          <w:b/>
          <w:bCs/>
          <w:sz w:val="22"/>
          <w:szCs w:val="22"/>
        </w:rPr>
        <w:t xml:space="preserve"> </w:t>
      </w:r>
      <w:r w:rsidRPr="001349EC">
        <w:rPr>
          <w:b/>
          <w:bCs/>
          <w:sz w:val="22"/>
          <w:szCs w:val="22"/>
        </w:rPr>
        <w:t>Carenze nell’applicazione delle norme relative agli appalti pubblici</w:t>
      </w:r>
    </w:p>
    <w:p w14:paraId="768384FE" w14:textId="77777777" w:rsidR="00CB7591" w:rsidRDefault="00CB7591" w:rsidP="00CB7591">
      <w:pPr>
        <w:pStyle w:val="Paragrafoelenco"/>
        <w:ind w:left="360"/>
        <w:jc w:val="both"/>
        <w:rPr>
          <w:b/>
          <w:bCs/>
          <w:sz w:val="22"/>
          <w:szCs w:val="22"/>
        </w:rPr>
      </w:pPr>
      <w:r>
        <w:rPr>
          <w:b/>
          <w:bCs/>
          <w:sz w:val="22"/>
          <w:szCs w:val="22"/>
        </w:rPr>
        <w:t xml:space="preserve">AZIONI CORRETTIVE E PREVENTIVE: </w:t>
      </w:r>
    </w:p>
    <w:p w14:paraId="78547C7D" w14:textId="67A8E65D" w:rsidR="00313AE0" w:rsidRDefault="00313AE0" w:rsidP="00CB7591">
      <w:pPr>
        <w:pStyle w:val="Paragrafoelenco"/>
        <w:ind w:left="360"/>
        <w:jc w:val="both"/>
        <w:rPr>
          <w:sz w:val="22"/>
          <w:szCs w:val="22"/>
        </w:rPr>
      </w:pPr>
      <w:r>
        <w:rPr>
          <w:sz w:val="22"/>
          <w:szCs w:val="22"/>
        </w:rPr>
        <w:t>- con determinazione direttoriale DPD 210 del 20/06/2024 l’</w:t>
      </w:r>
      <w:proofErr w:type="spellStart"/>
      <w:r>
        <w:rPr>
          <w:sz w:val="22"/>
          <w:szCs w:val="22"/>
        </w:rPr>
        <w:t>AdGr</w:t>
      </w:r>
      <w:proofErr w:type="spellEnd"/>
      <w:r>
        <w:rPr>
          <w:sz w:val="22"/>
          <w:szCs w:val="22"/>
        </w:rPr>
        <w:t xml:space="preserve"> ha pubblicato un</w:t>
      </w:r>
      <w:r w:rsidR="000F6E0B">
        <w:rPr>
          <w:sz w:val="22"/>
          <w:szCs w:val="22"/>
        </w:rPr>
        <w:t xml:space="preserve"> </w:t>
      </w:r>
      <w:r>
        <w:rPr>
          <w:sz w:val="22"/>
          <w:szCs w:val="22"/>
        </w:rPr>
        <w:t>a</w:t>
      </w:r>
      <w:r w:rsidRPr="00313AE0">
        <w:rPr>
          <w:sz w:val="22"/>
          <w:szCs w:val="22"/>
        </w:rPr>
        <w:t xml:space="preserve">vviso di indagine di mercato per l’affidamento, tramite procedura negoziata sotto soglia ai sensi dell’art. 50, comma 1, lett. e) del d.lgs. 36/2023, del servizio di assistenza specialistica per la compilazione delle check list predisposte da AGEA e la corretta applicazione del D. Lgs. 36/2023 e del </w:t>
      </w:r>
      <w:proofErr w:type="spellStart"/>
      <w:r w:rsidRPr="00313AE0">
        <w:rPr>
          <w:sz w:val="22"/>
          <w:szCs w:val="22"/>
        </w:rPr>
        <w:t>D.Lgs</w:t>
      </w:r>
      <w:proofErr w:type="spellEnd"/>
      <w:r w:rsidRPr="00313AE0">
        <w:rPr>
          <w:sz w:val="22"/>
          <w:szCs w:val="22"/>
        </w:rPr>
        <w:t xml:space="preserve"> 50/2016, anche attraverso l’utilizzo di un applicativo</w:t>
      </w:r>
      <w:r>
        <w:rPr>
          <w:sz w:val="22"/>
          <w:szCs w:val="22"/>
        </w:rPr>
        <w:t>. La procedura è ad oggi in corso di svolgimento;</w:t>
      </w:r>
    </w:p>
    <w:p w14:paraId="2E920E4B" w14:textId="244EA674" w:rsidR="00CB7591" w:rsidRDefault="00CB7591" w:rsidP="00CB7591">
      <w:pPr>
        <w:pStyle w:val="Paragrafoelenco"/>
        <w:ind w:left="360"/>
        <w:jc w:val="both"/>
        <w:rPr>
          <w:sz w:val="22"/>
          <w:szCs w:val="22"/>
        </w:rPr>
      </w:pPr>
      <w:r>
        <w:rPr>
          <w:sz w:val="22"/>
          <w:szCs w:val="22"/>
        </w:rPr>
        <w:t xml:space="preserve">- costante aggiornamento e corretto utilizzo delle </w:t>
      </w:r>
      <w:r w:rsidRPr="00A878CB">
        <w:rPr>
          <w:b/>
          <w:bCs/>
          <w:sz w:val="22"/>
          <w:szCs w:val="22"/>
        </w:rPr>
        <w:t>checklist</w:t>
      </w:r>
      <w:r w:rsidRPr="0001454A">
        <w:rPr>
          <w:sz w:val="22"/>
          <w:szCs w:val="22"/>
        </w:rPr>
        <w:t xml:space="preserve"> </w:t>
      </w:r>
      <w:r>
        <w:rPr>
          <w:sz w:val="22"/>
          <w:szCs w:val="22"/>
        </w:rPr>
        <w:t xml:space="preserve">AGEA </w:t>
      </w:r>
      <w:r w:rsidRPr="0001454A">
        <w:rPr>
          <w:sz w:val="22"/>
          <w:szCs w:val="22"/>
        </w:rPr>
        <w:t>finalizzat</w:t>
      </w:r>
      <w:r>
        <w:rPr>
          <w:sz w:val="22"/>
          <w:szCs w:val="22"/>
        </w:rPr>
        <w:t>e</w:t>
      </w:r>
      <w:r w:rsidRPr="0001454A">
        <w:rPr>
          <w:sz w:val="22"/>
          <w:szCs w:val="22"/>
        </w:rPr>
        <w:t xml:space="preserve"> ad effettuare dei controlli approfonditi</w:t>
      </w:r>
      <w:r>
        <w:rPr>
          <w:sz w:val="22"/>
          <w:szCs w:val="22"/>
        </w:rPr>
        <w:t xml:space="preserve"> </w:t>
      </w:r>
      <w:r w:rsidRPr="0001454A">
        <w:rPr>
          <w:sz w:val="22"/>
          <w:szCs w:val="22"/>
        </w:rPr>
        <w:t xml:space="preserve">sull’applicazione </w:t>
      </w:r>
      <w:r>
        <w:rPr>
          <w:sz w:val="22"/>
          <w:szCs w:val="22"/>
        </w:rPr>
        <w:t xml:space="preserve">della </w:t>
      </w:r>
      <w:r w:rsidRPr="0001454A">
        <w:rPr>
          <w:sz w:val="22"/>
          <w:szCs w:val="22"/>
        </w:rPr>
        <w:t>normativa</w:t>
      </w:r>
      <w:r>
        <w:rPr>
          <w:sz w:val="22"/>
          <w:szCs w:val="22"/>
        </w:rPr>
        <w:t xml:space="preserve"> di riferimento;</w:t>
      </w:r>
    </w:p>
    <w:p w14:paraId="58B3510E" w14:textId="59D9857C" w:rsidR="002C1BD0" w:rsidRDefault="002C1BD0" w:rsidP="00CB7591">
      <w:pPr>
        <w:pStyle w:val="Paragrafoelenco"/>
        <w:ind w:left="360"/>
        <w:jc w:val="both"/>
        <w:rPr>
          <w:sz w:val="22"/>
          <w:szCs w:val="22"/>
        </w:rPr>
      </w:pPr>
      <w:r>
        <w:rPr>
          <w:sz w:val="22"/>
          <w:szCs w:val="22"/>
        </w:rPr>
        <w:t xml:space="preserve">- </w:t>
      </w:r>
      <w:r w:rsidR="001D349E">
        <w:rPr>
          <w:sz w:val="22"/>
          <w:szCs w:val="22"/>
        </w:rPr>
        <w:t>corsi</w:t>
      </w:r>
      <w:r>
        <w:rPr>
          <w:sz w:val="22"/>
          <w:szCs w:val="22"/>
        </w:rPr>
        <w:t xml:space="preserve"> </w:t>
      </w:r>
      <w:r w:rsidR="001D349E">
        <w:rPr>
          <w:sz w:val="22"/>
          <w:szCs w:val="22"/>
        </w:rPr>
        <w:t>di formazione rivolti</w:t>
      </w:r>
      <w:r>
        <w:rPr>
          <w:sz w:val="22"/>
          <w:szCs w:val="22"/>
        </w:rPr>
        <w:t xml:space="preserve"> ai dipendenti del Dipartimento Agricoltura sulle tematiche relative al nuovo codice degli appalti entrato in vigore dal </w:t>
      </w:r>
      <w:r w:rsidR="002F580F">
        <w:rPr>
          <w:sz w:val="22"/>
          <w:szCs w:val="22"/>
        </w:rPr>
        <w:t>1° luglio</w:t>
      </w:r>
      <w:r>
        <w:rPr>
          <w:sz w:val="22"/>
          <w:szCs w:val="22"/>
        </w:rPr>
        <w:t xml:space="preserve"> 2023 (</w:t>
      </w:r>
      <w:proofErr w:type="spellStart"/>
      <w:r>
        <w:rPr>
          <w:sz w:val="22"/>
          <w:szCs w:val="22"/>
        </w:rPr>
        <w:t>D.lgs</w:t>
      </w:r>
      <w:proofErr w:type="spellEnd"/>
      <w:r>
        <w:rPr>
          <w:sz w:val="22"/>
          <w:szCs w:val="22"/>
        </w:rPr>
        <w:t xml:space="preserve"> 36/2023)</w:t>
      </w:r>
      <w:r w:rsidR="002F580F">
        <w:rPr>
          <w:sz w:val="22"/>
          <w:szCs w:val="22"/>
        </w:rPr>
        <w:t>.</w:t>
      </w:r>
    </w:p>
    <w:p w14:paraId="267AAD8A" w14:textId="77777777" w:rsidR="002F580F" w:rsidRDefault="002F580F" w:rsidP="00CB7591">
      <w:pPr>
        <w:pStyle w:val="Paragrafoelenco"/>
        <w:ind w:left="360"/>
        <w:jc w:val="both"/>
        <w:rPr>
          <w:sz w:val="22"/>
          <w:szCs w:val="22"/>
        </w:rPr>
      </w:pPr>
    </w:p>
    <w:p w14:paraId="6E613602" w14:textId="26E1E75C" w:rsidR="005E64F3" w:rsidRPr="00802AFC" w:rsidRDefault="00384F24" w:rsidP="00802AFC">
      <w:pPr>
        <w:pStyle w:val="Paragrafoelenco"/>
        <w:numPr>
          <w:ilvl w:val="0"/>
          <w:numId w:val="2"/>
        </w:numPr>
        <w:jc w:val="both"/>
        <w:rPr>
          <w:sz w:val="22"/>
          <w:szCs w:val="22"/>
        </w:rPr>
      </w:pPr>
      <w:r>
        <w:rPr>
          <w:b/>
          <w:bCs/>
          <w:sz w:val="22"/>
          <w:szCs w:val="22"/>
        </w:rPr>
        <w:t xml:space="preserve">CAUSA D’ERRORE: </w:t>
      </w:r>
      <w:r w:rsidR="005E64F3" w:rsidRPr="00BE2611">
        <w:rPr>
          <w:b/>
          <w:bCs/>
          <w:sz w:val="22"/>
          <w:szCs w:val="22"/>
          <w:u w:val="single"/>
        </w:rPr>
        <w:t>RC-RD12</w:t>
      </w:r>
      <w:r w:rsidR="005E64F3" w:rsidRPr="00802AFC">
        <w:rPr>
          <w:b/>
          <w:bCs/>
          <w:sz w:val="22"/>
          <w:szCs w:val="22"/>
        </w:rPr>
        <w:t xml:space="preserve"> Errori nel sistema dei controlli e mancanze nelle procedure amministrative</w:t>
      </w:r>
    </w:p>
    <w:p w14:paraId="0FF6B790" w14:textId="4E06B6DD" w:rsidR="00802AFC" w:rsidRDefault="00384F24" w:rsidP="00384F24">
      <w:pPr>
        <w:pStyle w:val="Paragrafoelenco"/>
        <w:ind w:left="360"/>
        <w:jc w:val="both"/>
        <w:rPr>
          <w:b/>
          <w:bCs/>
          <w:sz w:val="22"/>
          <w:szCs w:val="22"/>
        </w:rPr>
      </w:pPr>
      <w:r>
        <w:rPr>
          <w:b/>
          <w:bCs/>
          <w:sz w:val="22"/>
          <w:szCs w:val="22"/>
        </w:rPr>
        <w:t>AZION</w:t>
      </w:r>
      <w:r w:rsidR="0076554C">
        <w:rPr>
          <w:b/>
          <w:bCs/>
          <w:sz w:val="22"/>
          <w:szCs w:val="22"/>
        </w:rPr>
        <w:t>I</w:t>
      </w:r>
      <w:r w:rsidR="00802AFC">
        <w:rPr>
          <w:b/>
          <w:bCs/>
          <w:sz w:val="22"/>
          <w:szCs w:val="22"/>
        </w:rPr>
        <w:t xml:space="preserve"> CORRETTIVE E PREVENTIVE</w:t>
      </w:r>
      <w:r>
        <w:rPr>
          <w:b/>
          <w:bCs/>
          <w:sz w:val="22"/>
          <w:szCs w:val="22"/>
        </w:rPr>
        <w:t xml:space="preserve">: </w:t>
      </w:r>
    </w:p>
    <w:p w14:paraId="6385E1E5" w14:textId="711B5EC1" w:rsidR="00987A24" w:rsidRDefault="00802AFC" w:rsidP="00802AFC">
      <w:pPr>
        <w:pStyle w:val="Paragrafoelenco"/>
        <w:ind w:left="360"/>
        <w:jc w:val="both"/>
        <w:rPr>
          <w:sz w:val="22"/>
          <w:szCs w:val="22"/>
        </w:rPr>
      </w:pPr>
      <w:r>
        <w:rPr>
          <w:b/>
          <w:bCs/>
          <w:sz w:val="22"/>
          <w:szCs w:val="22"/>
        </w:rPr>
        <w:t xml:space="preserve">- </w:t>
      </w:r>
      <w:r w:rsidR="005E64F3" w:rsidRPr="00A878CB">
        <w:rPr>
          <w:b/>
          <w:bCs/>
          <w:sz w:val="22"/>
          <w:szCs w:val="22"/>
        </w:rPr>
        <w:t>a</w:t>
      </w:r>
      <w:r w:rsidR="004C6470" w:rsidRPr="00A878CB">
        <w:rPr>
          <w:b/>
          <w:bCs/>
          <w:sz w:val="22"/>
          <w:szCs w:val="22"/>
        </w:rPr>
        <w:t>ttività di</w:t>
      </w:r>
      <w:r w:rsidR="00A5020A" w:rsidRPr="00A878CB">
        <w:rPr>
          <w:b/>
          <w:bCs/>
          <w:sz w:val="22"/>
          <w:szCs w:val="22"/>
        </w:rPr>
        <w:t xml:space="preserve"> formazione</w:t>
      </w:r>
      <w:r w:rsidR="00A5020A" w:rsidRPr="00196D08">
        <w:rPr>
          <w:sz w:val="22"/>
          <w:szCs w:val="22"/>
        </w:rPr>
        <w:t>, affiancamento</w:t>
      </w:r>
      <w:r w:rsidR="00A5020A" w:rsidRPr="005E64F3">
        <w:rPr>
          <w:sz w:val="22"/>
          <w:szCs w:val="22"/>
        </w:rPr>
        <w:t xml:space="preserve"> e supporto </w:t>
      </w:r>
      <w:r w:rsidR="002D0297">
        <w:rPr>
          <w:sz w:val="22"/>
          <w:szCs w:val="22"/>
        </w:rPr>
        <w:t>al personale interno</w:t>
      </w:r>
      <w:r w:rsidR="00A5020A" w:rsidRPr="005E64F3">
        <w:rPr>
          <w:sz w:val="22"/>
          <w:szCs w:val="22"/>
        </w:rPr>
        <w:t xml:space="preserve"> del Dipartimento</w:t>
      </w:r>
      <w:r w:rsidR="00A5020A" w:rsidRPr="00297C6E">
        <w:rPr>
          <w:sz w:val="22"/>
          <w:szCs w:val="22"/>
        </w:rPr>
        <w:t xml:space="preserve"> per le istruttorie delle misure a</w:t>
      </w:r>
      <w:r w:rsidR="00A5020A">
        <w:rPr>
          <w:sz w:val="22"/>
          <w:szCs w:val="22"/>
        </w:rPr>
        <w:t xml:space="preserve"> </w:t>
      </w:r>
      <w:r w:rsidR="00A5020A" w:rsidRPr="00297C6E">
        <w:rPr>
          <w:sz w:val="22"/>
          <w:szCs w:val="22"/>
        </w:rPr>
        <w:t>superficie/strutturali, per l’analisi delle anomalie e la predisposizione di report per la segnalazione ad AGEA,</w:t>
      </w:r>
      <w:r w:rsidR="00A5020A">
        <w:rPr>
          <w:sz w:val="22"/>
          <w:szCs w:val="22"/>
        </w:rPr>
        <w:t xml:space="preserve"> </w:t>
      </w:r>
      <w:r w:rsidR="00A5020A" w:rsidRPr="00A5020A">
        <w:rPr>
          <w:sz w:val="22"/>
          <w:szCs w:val="22"/>
        </w:rPr>
        <w:t>o che richiedono interventi dei CAA, per la predisposizione di riepiloghi di</w:t>
      </w:r>
      <w:r w:rsidR="004E3F8C">
        <w:rPr>
          <w:sz w:val="22"/>
          <w:szCs w:val="22"/>
        </w:rPr>
        <w:t xml:space="preserve"> dettaglio e</w:t>
      </w:r>
      <w:r w:rsidR="00A47B9E">
        <w:rPr>
          <w:sz w:val="22"/>
          <w:szCs w:val="22"/>
        </w:rPr>
        <w:t xml:space="preserve"> per le modifiche alle</w:t>
      </w:r>
      <w:r w:rsidR="00A5020A">
        <w:rPr>
          <w:sz w:val="22"/>
          <w:szCs w:val="22"/>
        </w:rPr>
        <w:t xml:space="preserve"> </w:t>
      </w:r>
      <w:r w:rsidR="00A5020A" w:rsidRPr="00A5020A">
        <w:rPr>
          <w:sz w:val="22"/>
          <w:szCs w:val="22"/>
        </w:rPr>
        <w:t xml:space="preserve">VCM concordate con AGEA. </w:t>
      </w:r>
    </w:p>
    <w:p w14:paraId="6FB49180" w14:textId="16D8A1B7" w:rsidR="00802AFC" w:rsidRDefault="005E64F3" w:rsidP="00802AFC">
      <w:pPr>
        <w:pStyle w:val="Paragrafoelenco"/>
        <w:ind w:left="360"/>
        <w:jc w:val="both"/>
        <w:rPr>
          <w:sz w:val="22"/>
          <w:szCs w:val="22"/>
        </w:rPr>
      </w:pPr>
      <w:r>
        <w:rPr>
          <w:sz w:val="22"/>
          <w:szCs w:val="22"/>
        </w:rPr>
        <w:t xml:space="preserve">- </w:t>
      </w:r>
      <w:r w:rsidR="00607AF3">
        <w:rPr>
          <w:sz w:val="22"/>
          <w:szCs w:val="22"/>
        </w:rPr>
        <w:t>definizione</w:t>
      </w:r>
      <w:r w:rsidR="0004072F">
        <w:rPr>
          <w:sz w:val="22"/>
          <w:szCs w:val="22"/>
        </w:rPr>
        <w:t xml:space="preserve"> </w:t>
      </w:r>
      <w:r w:rsidR="00E5185A">
        <w:rPr>
          <w:sz w:val="22"/>
          <w:szCs w:val="22"/>
        </w:rPr>
        <w:t xml:space="preserve">di </w:t>
      </w:r>
      <w:r w:rsidR="00E5185A" w:rsidRPr="005E64F3">
        <w:rPr>
          <w:sz w:val="22"/>
          <w:szCs w:val="22"/>
        </w:rPr>
        <w:t>un</w:t>
      </w:r>
      <w:r w:rsidR="00F93002" w:rsidRPr="005E64F3">
        <w:rPr>
          <w:sz w:val="22"/>
          <w:szCs w:val="22"/>
        </w:rPr>
        <w:t xml:space="preserve"> </w:t>
      </w:r>
      <w:r w:rsidR="00F93002" w:rsidRPr="001349EC">
        <w:rPr>
          <w:b/>
          <w:bCs/>
          <w:sz w:val="22"/>
          <w:szCs w:val="22"/>
        </w:rPr>
        <w:t>“Manuale delle Procedure</w:t>
      </w:r>
      <w:r w:rsidR="00F93002" w:rsidRPr="005E64F3">
        <w:rPr>
          <w:sz w:val="22"/>
          <w:szCs w:val="22"/>
        </w:rPr>
        <w:t>”</w:t>
      </w:r>
      <w:r>
        <w:rPr>
          <w:sz w:val="22"/>
          <w:szCs w:val="22"/>
        </w:rPr>
        <w:t>,</w:t>
      </w:r>
      <w:r w:rsidR="00F93002" w:rsidRPr="00095721">
        <w:rPr>
          <w:sz w:val="22"/>
          <w:szCs w:val="22"/>
        </w:rPr>
        <w:t xml:space="preserve"> </w:t>
      </w:r>
      <w:r w:rsidR="0004072F" w:rsidRPr="0004072F">
        <w:rPr>
          <w:sz w:val="22"/>
          <w:szCs w:val="22"/>
        </w:rPr>
        <w:t xml:space="preserve">approvato </w:t>
      </w:r>
      <w:r w:rsidR="00001F85">
        <w:rPr>
          <w:sz w:val="22"/>
          <w:szCs w:val="22"/>
        </w:rPr>
        <w:t>da ultimo con l</w:t>
      </w:r>
      <w:r w:rsidR="0004072F">
        <w:rPr>
          <w:sz w:val="22"/>
          <w:szCs w:val="22"/>
        </w:rPr>
        <w:t xml:space="preserve">a Determinazione </w:t>
      </w:r>
      <w:r w:rsidR="002F580F" w:rsidRPr="002F580F">
        <w:rPr>
          <w:sz w:val="22"/>
          <w:szCs w:val="22"/>
        </w:rPr>
        <w:t>DPD/225 del 23/07/202</w:t>
      </w:r>
      <w:r w:rsidR="002F580F">
        <w:rPr>
          <w:sz w:val="22"/>
          <w:szCs w:val="22"/>
        </w:rPr>
        <w:t>4</w:t>
      </w:r>
      <w:r>
        <w:rPr>
          <w:sz w:val="22"/>
          <w:szCs w:val="22"/>
        </w:rPr>
        <w:t>,</w:t>
      </w:r>
      <w:r w:rsidR="00607AF3">
        <w:rPr>
          <w:sz w:val="22"/>
          <w:szCs w:val="22"/>
        </w:rPr>
        <w:t xml:space="preserve"> </w:t>
      </w:r>
      <w:r>
        <w:rPr>
          <w:sz w:val="22"/>
          <w:szCs w:val="22"/>
        </w:rPr>
        <w:t>finalizzato ad</w:t>
      </w:r>
      <w:r w:rsidR="00607AF3">
        <w:rPr>
          <w:sz w:val="22"/>
          <w:szCs w:val="22"/>
        </w:rPr>
        <w:t xml:space="preserve"> assicurare un uniforme svolgimento delle attività </w:t>
      </w:r>
      <w:r>
        <w:rPr>
          <w:sz w:val="22"/>
          <w:szCs w:val="22"/>
        </w:rPr>
        <w:t>istruttorie svolte dal</w:t>
      </w:r>
      <w:r w:rsidR="00001F85">
        <w:rPr>
          <w:sz w:val="22"/>
          <w:szCs w:val="22"/>
        </w:rPr>
        <w:t xml:space="preserve"> </w:t>
      </w:r>
      <w:r w:rsidR="00607AF3">
        <w:rPr>
          <w:sz w:val="22"/>
          <w:szCs w:val="22"/>
        </w:rPr>
        <w:t>personale interno</w:t>
      </w:r>
      <w:r w:rsidR="00001F85">
        <w:rPr>
          <w:sz w:val="22"/>
          <w:szCs w:val="22"/>
        </w:rPr>
        <w:t xml:space="preserve"> e dai consulenti dell’Assistenza Tecnica</w:t>
      </w:r>
      <w:r>
        <w:rPr>
          <w:sz w:val="22"/>
          <w:szCs w:val="22"/>
        </w:rPr>
        <w:t>;</w:t>
      </w:r>
    </w:p>
    <w:p w14:paraId="2DA57567" w14:textId="6E9F4EA7" w:rsidR="0001454A" w:rsidRDefault="0074155F" w:rsidP="00802AFC">
      <w:pPr>
        <w:pStyle w:val="Paragrafoelenco"/>
        <w:ind w:left="360"/>
        <w:jc w:val="both"/>
        <w:rPr>
          <w:color w:val="000000"/>
          <w:sz w:val="22"/>
          <w:szCs w:val="22"/>
        </w:rPr>
      </w:pPr>
      <w:r>
        <w:rPr>
          <w:sz w:val="22"/>
          <w:szCs w:val="22"/>
        </w:rPr>
        <w:t xml:space="preserve">- </w:t>
      </w:r>
      <w:r w:rsidR="00B137F2">
        <w:rPr>
          <w:sz w:val="22"/>
          <w:szCs w:val="22"/>
        </w:rPr>
        <w:t xml:space="preserve">attività di </w:t>
      </w:r>
      <w:r w:rsidRPr="001349EC">
        <w:rPr>
          <w:b/>
          <w:bCs/>
          <w:sz w:val="22"/>
          <w:szCs w:val="22"/>
        </w:rPr>
        <w:t>v</w:t>
      </w:r>
      <w:r w:rsidRPr="001349EC">
        <w:rPr>
          <w:b/>
          <w:bCs/>
          <w:color w:val="000000"/>
          <w:sz w:val="22"/>
          <w:szCs w:val="22"/>
        </w:rPr>
        <w:t>erifica dei limiti di cumulabilità</w:t>
      </w:r>
      <w:r w:rsidRPr="0074155F">
        <w:rPr>
          <w:color w:val="000000"/>
          <w:sz w:val="22"/>
          <w:szCs w:val="22"/>
        </w:rPr>
        <w:t xml:space="preserve"> dei sostegni previsti dal Programma di Sviluppo Rurale 2014/202</w:t>
      </w:r>
      <w:r w:rsidR="00E9233D">
        <w:rPr>
          <w:color w:val="000000"/>
          <w:sz w:val="22"/>
          <w:szCs w:val="22"/>
        </w:rPr>
        <w:t>2</w:t>
      </w:r>
      <w:r w:rsidRPr="0074155F">
        <w:rPr>
          <w:color w:val="000000"/>
          <w:sz w:val="22"/>
          <w:szCs w:val="22"/>
        </w:rPr>
        <w:t xml:space="preserve"> con </w:t>
      </w:r>
      <w:r w:rsidR="004E0CD4">
        <w:rPr>
          <w:color w:val="000000"/>
          <w:sz w:val="22"/>
          <w:szCs w:val="22"/>
        </w:rPr>
        <w:t xml:space="preserve">altri finanziamenti unionali </w:t>
      </w:r>
      <w:r w:rsidR="00BB5B2C">
        <w:rPr>
          <w:color w:val="000000"/>
          <w:sz w:val="22"/>
          <w:szCs w:val="22"/>
        </w:rPr>
        <w:t>e</w:t>
      </w:r>
      <w:r w:rsidRPr="0074155F">
        <w:rPr>
          <w:color w:val="000000"/>
          <w:sz w:val="22"/>
          <w:szCs w:val="22"/>
        </w:rPr>
        <w:t xml:space="preserve"> agevolazioni nazionali di carattere fiscale</w:t>
      </w:r>
      <w:r w:rsidR="002F580F">
        <w:rPr>
          <w:color w:val="000000"/>
          <w:sz w:val="22"/>
          <w:szCs w:val="22"/>
        </w:rPr>
        <w:t>;</w:t>
      </w:r>
    </w:p>
    <w:p w14:paraId="4322D013" w14:textId="3B419923" w:rsidR="002F580F" w:rsidRDefault="002F580F" w:rsidP="00802AFC">
      <w:pPr>
        <w:pStyle w:val="Paragrafoelenco"/>
        <w:ind w:left="360"/>
        <w:jc w:val="both"/>
        <w:rPr>
          <w:color w:val="000000"/>
          <w:sz w:val="22"/>
          <w:szCs w:val="22"/>
        </w:rPr>
      </w:pPr>
      <w:r>
        <w:rPr>
          <w:color w:val="000000"/>
          <w:sz w:val="22"/>
          <w:szCs w:val="22"/>
        </w:rPr>
        <w:t>- a</w:t>
      </w:r>
      <w:r w:rsidRPr="002F580F">
        <w:rPr>
          <w:color w:val="000000"/>
          <w:sz w:val="22"/>
          <w:szCs w:val="22"/>
        </w:rPr>
        <w:t>ggiornamento delle «</w:t>
      </w:r>
      <w:r w:rsidRPr="002F580F">
        <w:rPr>
          <w:b/>
          <w:bCs/>
          <w:color w:val="000000"/>
          <w:sz w:val="22"/>
          <w:szCs w:val="22"/>
        </w:rPr>
        <w:t>Linee Guida Aiuti di Stato.</w:t>
      </w:r>
      <w:r w:rsidRPr="002F580F">
        <w:rPr>
          <w:color w:val="000000"/>
          <w:sz w:val="22"/>
          <w:szCs w:val="22"/>
        </w:rPr>
        <w:t xml:space="preserve"> Interventi CSR Abruzzo 2023/2027» (Allegato H alla determinazione DPD/225 del 23/07/2024 di approvazione delle “DISPOSIZIONI ATTUATIVE E PROCEDURALI GENERALI PER GLI INTERVENTI DI SVILUPPO RURALE” versione 1)</w:t>
      </w:r>
      <w:r>
        <w:rPr>
          <w:color w:val="000000"/>
          <w:sz w:val="22"/>
          <w:szCs w:val="22"/>
        </w:rPr>
        <w:t>.</w:t>
      </w:r>
    </w:p>
    <w:p w14:paraId="54397DAE" w14:textId="77777777" w:rsidR="002F580F" w:rsidRDefault="002F580F" w:rsidP="00802AFC">
      <w:pPr>
        <w:pStyle w:val="Paragrafoelenco"/>
        <w:ind w:left="360"/>
        <w:jc w:val="both"/>
        <w:rPr>
          <w:color w:val="000000"/>
          <w:sz w:val="22"/>
          <w:szCs w:val="22"/>
        </w:rPr>
      </w:pPr>
    </w:p>
    <w:p w14:paraId="196D80FF" w14:textId="7FAA1EEB" w:rsidR="00987A24" w:rsidRPr="00802AFC" w:rsidRDefault="00987A24" w:rsidP="00987A24">
      <w:pPr>
        <w:pStyle w:val="Paragrafoelenco"/>
        <w:numPr>
          <w:ilvl w:val="0"/>
          <w:numId w:val="2"/>
        </w:numPr>
        <w:jc w:val="both"/>
        <w:rPr>
          <w:sz w:val="22"/>
          <w:szCs w:val="22"/>
        </w:rPr>
      </w:pPr>
      <w:r>
        <w:rPr>
          <w:b/>
          <w:bCs/>
          <w:sz w:val="22"/>
          <w:szCs w:val="22"/>
        </w:rPr>
        <w:t xml:space="preserve">CAUSA D’ERRORE: </w:t>
      </w:r>
      <w:r>
        <w:rPr>
          <w:b/>
          <w:bCs/>
          <w:sz w:val="22"/>
          <w:szCs w:val="22"/>
          <w:u w:val="single"/>
        </w:rPr>
        <w:t>RC-RD15</w:t>
      </w:r>
      <w:r w:rsidRPr="00802AFC">
        <w:rPr>
          <w:b/>
          <w:bCs/>
          <w:sz w:val="22"/>
          <w:szCs w:val="22"/>
        </w:rPr>
        <w:t xml:space="preserve"> </w:t>
      </w:r>
      <w:r>
        <w:rPr>
          <w:b/>
          <w:bCs/>
          <w:sz w:val="22"/>
          <w:szCs w:val="22"/>
        </w:rPr>
        <w:t xml:space="preserve">Errori nella gestione delle domande di pagamento da parte dei beneficiari </w:t>
      </w:r>
    </w:p>
    <w:p w14:paraId="18FA7FEB" w14:textId="77777777" w:rsidR="00987A24" w:rsidRDefault="00987A24" w:rsidP="00987A24">
      <w:pPr>
        <w:pStyle w:val="Paragrafoelenco"/>
        <w:ind w:left="360"/>
        <w:jc w:val="both"/>
        <w:rPr>
          <w:b/>
          <w:bCs/>
          <w:sz w:val="22"/>
          <w:szCs w:val="22"/>
        </w:rPr>
      </w:pPr>
      <w:r>
        <w:rPr>
          <w:b/>
          <w:bCs/>
          <w:sz w:val="22"/>
          <w:szCs w:val="22"/>
        </w:rPr>
        <w:t xml:space="preserve">AZIONI CORRETTIVE E PREVENTIVE: </w:t>
      </w:r>
    </w:p>
    <w:p w14:paraId="629C18BA" w14:textId="439DB214" w:rsidR="00987A24" w:rsidRDefault="00987A24" w:rsidP="00987A24">
      <w:pPr>
        <w:pStyle w:val="Paragrafoelenco"/>
        <w:ind w:left="360"/>
        <w:jc w:val="both"/>
        <w:rPr>
          <w:sz w:val="22"/>
          <w:szCs w:val="22"/>
        </w:rPr>
      </w:pPr>
      <w:r>
        <w:rPr>
          <w:b/>
          <w:bCs/>
          <w:sz w:val="22"/>
          <w:szCs w:val="22"/>
        </w:rPr>
        <w:t xml:space="preserve">- </w:t>
      </w:r>
      <w:r w:rsidRPr="00987A24">
        <w:rPr>
          <w:b/>
          <w:sz w:val="22"/>
          <w:szCs w:val="22"/>
        </w:rPr>
        <w:t>campagne informative</w:t>
      </w:r>
      <w:r w:rsidRPr="00095721">
        <w:rPr>
          <w:sz w:val="22"/>
          <w:szCs w:val="22"/>
        </w:rPr>
        <w:t xml:space="preserve"> </w:t>
      </w:r>
      <w:r>
        <w:rPr>
          <w:sz w:val="22"/>
          <w:szCs w:val="22"/>
        </w:rPr>
        <w:t xml:space="preserve">finalizzate a presentare ai </w:t>
      </w:r>
      <w:r w:rsidR="00F2755B">
        <w:rPr>
          <w:sz w:val="22"/>
          <w:szCs w:val="22"/>
        </w:rPr>
        <w:t xml:space="preserve">potenziali </w:t>
      </w:r>
      <w:r>
        <w:rPr>
          <w:sz w:val="22"/>
          <w:szCs w:val="22"/>
        </w:rPr>
        <w:t>beneficiari e tecnici i bandi pubblicati (ad. Mis. 6.1 bando 2022)</w:t>
      </w:r>
      <w:r w:rsidR="00114894">
        <w:rPr>
          <w:sz w:val="22"/>
          <w:szCs w:val="22"/>
        </w:rPr>
        <w:t>;</w:t>
      </w:r>
    </w:p>
    <w:p w14:paraId="71F448FF" w14:textId="54D2CE74" w:rsidR="00114894" w:rsidRPr="00802AFC" w:rsidRDefault="00114894" w:rsidP="00987A24">
      <w:pPr>
        <w:pStyle w:val="Paragrafoelenco"/>
        <w:ind w:left="360"/>
        <w:jc w:val="both"/>
        <w:rPr>
          <w:sz w:val="22"/>
          <w:szCs w:val="22"/>
        </w:rPr>
      </w:pPr>
      <w:r>
        <w:rPr>
          <w:b/>
          <w:bCs/>
          <w:sz w:val="22"/>
          <w:szCs w:val="22"/>
        </w:rPr>
        <w:t xml:space="preserve">- incontri </w:t>
      </w:r>
      <w:bookmarkStart w:id="2" w:name="_GoBack"/>
      <w:bookmarkEnd w:id="2"/>
      <w:r w:rsidRPr="00114894">
        <w:rPr>
          <w:bCs/>
          <w:sz w:val="22"/>
          <w:szCs w:val="22"/>
        </w:rPr>
        <w:t xml:space="preserve">mirati tra il personale interno e i tecnici che assistono i </w:t>
      </w:r>
      <w:r w:rsidR="00045EBA">
        <w:rPr>
          <w:bCs/>
          <w:sz w:val="22"/>
          <w:szCs w:val="22"/>
        </w:rPr>
        <w:t xml:space="preserve">potenziali/effettivi </w:t>
      </w:r>
      <w:r w:rsidRPr="00114894">
        <w:rPr>
          <w:bCs/>
          <w:sz w:val="22"/>
          <w:szCs w:val="22"/>
        </w:rPr>
        <w:t>beneficiari nella predisposizione della documentazione.</w:t>
      </w:r>
    </w:p>
    <w:p w14:paraId="21C07E70" w14:textId="7EBB8512" w:rsidR="001E429D" w:rsidRDefault="001E429D" w:rsidP="001E429D">
      <w:pPr>
        <w:jc w:val="both"/>
        <w:rPr>
          <w:sz w:val="22"/>
          <w:szCs w:val="22"/>
        </w:rPr>
      </w:pPr>
    </w:p>
    <w:p w14:paraId="3D975BEF" w14:textId="77777777" w:rsidR="009E2918" w:rsidRDefault="009E2918" w:rsidP="009E2918">
      <w:pPr>
        <w:jc w:val="both"/>
        <w:rPr>
          <w:b/>
          <w:bCs/>
          <w:sz w:val="16"/>
          <w:szCs w:val="16"/>
        </w:rPr>
      </w:pPr>
      <w:bookmarkStart w:id="3" w:name="_Toc96638554"/>
    </w:p>
    <w:p w14:paraId="6F1D67EE" w14:textId="6C913F3F" w:rsidR="007A5175" w:rsidRPr="005E2CDA" w:rsidRDefault="00D73A26" w:rsidP="0074155F">
      <w:pPr>
        <w:rPr>
          <w:rFonts w:asciiTheme="majorHAnsi" w:eastAsiaTheme="majorEastAsia" w:hAnsiTheme="majorHAnsi" w:cstheme="majorBidi"/>
          <w:b/>
          <w:bCs/>
          <w:spacing w:val="-10"/>
          <w:kern w:val="28"/>
          <w:sz w:val="36"/>
          <w:szCs w:val="36"/>
          <w:lang w:val="en-GB"/>
        </w:rPr>
      </w:pPr>
      <w:r>
        <w:rPr>
          <w:rFonts w:asciiTheme="majorHAnsi" w:eastAsiaTheme="majorEastAsia" w:hAnsiTheme="majorHAnsi" w:cstheme="majorBidi"/>
          <w:b/>
          <w:bCs/>
          <w:spacing w:val="-10"/>
          <w:kern w:val="28"/>
          <w:sz w:val="36"/>
          <w:szCs w:val="36"/>
          <w:lang w:val="en-GB"/>
        </w:rPr>
        <w:lastRenderedPageBreak/>
        <w:t xml:space="preserve">PRINCIPALE </w:t>
      </w:r>
      <w:r w:rsidR="00591B4C" w:rsidRPr="00DF5A3B">
        <w:rPr>
          <w:rFonts w:asciiTheme="majorHAnsi" w:eastAsiaTheme="majorEastAsia" w:hAnsiTheme="majorHAnsi" w:cstheme="majorBidi"/>
          <w:b/>
          <w:bCs/>
          <w:spacing w:val="-10"/>
          <w:kern w:val="28"/>
          <w:sz w:val="36"/>
          <w:szCs w:val="36"/>
          <w:lang w:val="en-GB"/>
        </w:rPr>
        <w:t>BIBLIOGRAFIA E SITOGRAFIA</w:t>
      </w:r>
      <w:bookmarkEnd w:id="3"/>
      <w:r>
        <w:rPr>
          <w:rFonts w:asciiTheme="majorHAnsi" w:eastAsiaTheme="majorEastAsia" w:hAnsiTheme="majorHAnsi" w:cstheme="majorBidi"/>
          <w:b/>
          <w:bCs/>
          <w:spacing w:val="-10"/>
          <w:kern w:val="28"/>
          <w:sz w:val="36"/>
          <w:szCs w:val="36"/>
          <w:lang w:val="en-GB"/>
        </w:rPr>
        <w:t xml:space="preserve"> DI RIFERIMENTO</w:t>
      </w:r>
    </w:p>
    <w:p w14:paraId="23BA93FA" w14:textId="560E0D60" w:rsidR="00930C28" w:rsidRPr="00193059" w:rsidRDefault="00286DC9" w:rsidP="007A4A45">
      <w:pPr>
        <w:ind w:firstLine="284"/>
        <w:jc w:val="both"/>
        <w:rPr>
          <w:sz w:val="22"/>
          <w:szCs w:val="22"/>
          <w:lang w:val="en-GB"/>
        </w:rPr>
      </w:pPr>
      <w:r w:rsidRPr="00193059">
        <w:rPr>
          <w:sz w:val="22"/>
          <w:szCs w:val="22"/>
          <w:lang w:val="en-GB"/>
        </w:rPr>
        <w:t xml:space="preserve">- </w:t>
      </w:r>
      <w:r w:rsidR="00195915" w:rsidRPr="00193059">
        <w:rPr>
          <w:sz w:val="22"/>
          <w:szCs w:val="22"/>
          <w:lang w:val="en-GB"/>
        </w:rPr>
        <w:t>Annual Activity Report 2020 – Agriculture and rural development</w:t>
      </w:r>
      <w:r w:rsidR="00CC65BE" w:rsidRPr="00193059">
        <w:rPr>
          <w:b/>
          <w:bCs/>
          <w:i/>
          <w:iCs/>
          <w:sz w:val="22"/>
          <w:szCs w:val="22"/>
          <w:lang w:val="en-GB"/>
        </w:rPr>
        <w:t xml:space="preserve"> </w:t>
      </w:r>
      <w:hyperlink r:id="rId17" w:history="1">
        <w:r w:rsidR="00195915" w:rsidRPr="00193059">
          <w:rPr>
            <w:rStyle w:val="Collegamentoipertestuale"/>
            <w:sz w:val="22"/>
            <w:szCs w:val="22"/>
            <w:lang w:val="en-GB"/>
          </w:rPr>
          <w:t>https://ec.europa.eu/info/publications/annual-activity-report-2020-agriculture-and-rural-development_it</w:t>
        </w:r>
      </w:hyperlink>
    </w:p>
    <w:p w14:paraId="61DE255B" w14:textId="5650E745" w:rsidR="007A4A45" w:rsidRPr="00193059" w:rsidRDefault="00286DC9" w:rsidP="007A4A45">
      <w:pPr>
        <w:ind w:firstLine="284"/>
        <w:jc w:val="both"/>
        <w:rPr>
          <w:sz w:val="22"/>
          <w:szCs w:val="22"/>
        </w:rPr>
      </w:pPr>
      <w:r w:rsidRPr="00193059">
        <w:rPr>
          <w:sz w:val="22"/>
          <w:szCs w:val="22"/>
        </w:rPr>
        <w:t>- I controlli sui PSR 2014-202</w:t>
      </w:r>
      <w:r w:rsidR="005E2CDA" w:rsidRPr="00193059">
        <w:rPr>
          <w:sz w:val="22"/>
          <w:szCs w:val="22"/>
        </w:rPr>
        <w:t>2</w:t>
      </w:r>
      <w:r w:rsidRPr="00193059">
        <w:rPr>
          <w:sz w:val="22"/>
          <w:szCs w:val="22"/>
        </w:rPr>
        <w:t>. Report biennale di analisi degli audit della Commissione e della Corte dei Conti europea</w:t>
      </w:r>
      <w:r w:rsidR="00403647" w:rsidRPr="00193059">
        <w:rPr>
          <w:sz w:val="22"/>
          <w:szCs w:val="22"/>
        </w:rPr>
        <w:t>. Rete Rurale Nazionale (d</w:t>
      </w:r>
      <w:r w:rsidR="009D142E" w:rsidRPr="00193059">
        <w:rPr>
          <w:sz w:val="22"/>
          <w:szCs w:val="22"/>
        </w:rPr>
        <w:t>icembre 202</w:t>
      </w:r>
      <w:r w:rsidR="005E2CDA" w:rsidRPr="00193059">
        <w:rPr>
          <w:sz w:val="22"/>
          <w:szCs w:val="22"/>
        </w:rPr>
        <w:t>2</w:t>
      </w:r>
      <w:r w:rsidR="009D142E" w:rsidRPr="00193059">
        <w:rPr>
          <w:sz w:val="22"/>
          <w:szCs w:val="22"/>
        </w:rPr>
        <w:t>)</w:t>
      </w:r>
      <w:r w:rsidR="005E2CDA" w:rsidRPr="00193059">
        <w:rPr>
          <w:sz w:val="22"/>
          <w:szCs w:val="22"/>
        </w:rPr>
        <w:t xml:space="preserve"> </w:t>
      </w:r>
      <w:hyperlink r:id="rId18" w:history="1">
        <w:r w:rsidR="005E2CDA" w:rsidRPr="00193059">
          <w:rPr>
            <w:rStyle w:val="Collegamentoipertestuale"/>
            <w:sz w:val="22"/>
            <w:szCs w:val="22"/>
          </w:rPr>
          <w:t>https://www.reterurale.it/flex/cm/pages/ServeBLOB.php/L/IT/IDPagina/24666</w:t>
        </w:r>
      </w:hyperlink>
      <w:r w:rsidR="005E2CDA" w:rsidRPr="00193059">
        <w:rPr>
          <w:sz w:val="22"/>
          <w:szCs w:val="22"/>
        </w:rPr>
        <w:t xml:space="preserve"> </w:t>
      </w:r>
    </w:p>
    <w:p w14:paraId="6ACADD2A" w14:textId="30BD7D4F" w:rsidR="00930C28" w:rsidRPr="00193059" w:rsidRDefault="00893FF5" w:rsidP="007A4A45">
      <w:pPr>
        <w:ind w:firstLine="284"/>
        <w:jc w:val="both"/>
        <w:rPr>
          <w:rStyle w:val="Collegamentoipertestuale"/>
          <w:color w:val="auto"/>
          <w:sz w:val="22"/>
          <w:szCs w:val="22"/>
          <w:u w:val="none"/>
        </w:rPr>
      </w:pPr>
      <w:hyperlink r:id="rId19" w:history="1">
        <w:r w:rsidR="007A4A45" w:rsidRPr="00193059">
          <w:rPr>
            <w:rStyle w:val="Collegamentoipertestuale"/>
            <w:sz w:val="22"/>
            <w:szCs w:val="22"/>
          </w:rPr>
          <w:t>https://www.reterurale.it/flex/cm/pages/ServeBLOB.php/L/IT/IDPagina/22230</w:t>
        </w:r>
      </w:hyperlink>
    </w:p>
    <w:p w14:paraId="19A817A7" w14:textId="31DD01E8" w:rsidR="00E8238C" w:rsidRPr="00193059" w:rsidRDefault="00E8238C" w:rsidP="007A4A45">
      <w:pPr>
        <w:ind w:firstLine="284"/>
        <w:jc w:val="both"/>
        <w:rPr>
          <w:sz w:val="22"/>
          <w:szCs w:val="22"/>
        </w:rPr>
      </w:pPr>
      <w:r w:rsidRPr="00193059">
        <w:rPr>
          <w:sz w:val="22"/>
          <w:szCs w:val="22"/>
        </w:rPr>
        <w:t>- Regolamento di esecuzione (UE) n. 1305/2013 del Parlamento Europeo e del Consiglio del 17/12/2013, sul sostegno allo sviluppo rurale da parte del Fondo Europeo Agricolo per lo Sviluppo Rurale (FEASR) e che abroga il Reg. (CE) n. 1698/2005 del Consiglio</w:t>
      </w:r>
    </w:p>
    <w:p w14:paraId="60A02986" w14:textId="069EFB59" w:rsidR="00E8238C" w:rsidRPr="00193059" w:rsidRDefault="00E8238C" w:rsidP="007A4A45">
      <w:pPr>
        <w:ind w:firstLine="284"/>
        <w:jc w:val="both"/>
        <w:rPr>
          <w:sz w:val="22"/>
          <w:szCs w:val="22"/>
        </w:rPr>
      </w:pPr>
      <w:r w:rsidRPr="00193059">
        <w:rPr>
          <w:sz w:val="22"/>
          <w:szCs w:val="22"/>
        </w:rPr>
        <w:t>- Regolamento (UE) n. 1306/2013 del Parlamento Europeo e del Consiglio del 17/12/2013, sul finanziamento, sulla gestione e sul monitoraggio della politica agricola comune</w:t>
      </w:r>
    </w:p>
    <w:p w14:paraId="7B65DAEF" w14:textId="1C1D458C" w:rsidR="00E8238C" w:rsidRPr="00193059" w:rsidRDefault="00E8238C" w:rsidP="007A4A45">
      <w:pPr>
        <w:ind w:firstLine="284"/>
        <w:jc w:val="both"/>
        <w:rPr>
          <w:sz w:val="22"/>
          <w:szCs w:val="22"/>
        </w:rPr>
      </w:pPr>
      <w:r w:rsidRPr="00193059">
        <w:rPr>
          <w:sz w:val="22"/>
          <w:szCs w:val="22"/>
        </w:rPr>
        <w:t>- Regolamento di esecuzione n. 808/2014 recante modalità di applicazione del regolamento (UE) n. 1305/2013 del Parlamento europeo e del Consiglio sul sostegno allo sviluppo rurale da parte del Fondo europeo agricolo per lo sviluppo rurale (FEASR)</w:t>
      </w:r>
    </w:p>
    <w:p w14:paraId="12CF645E" w14:textId="482403EA" w:rsidR="00E8238C" w:rsidRPr="00193059" w:rsidRDefault="00E8238C" w:rsidP="007A4A45">
      <w:pPr>
        <w:ind w:firstLine="284"/>
        <w:jc w:val="both"/>
        <w:rPr>
          <w:sz w:val="22"/>
          <w:szCs w:val="22"/>
        </w:rPr>
      </w:pPr>
      <w:r w:rsidRPr="00193059">
        <w:rPr>
          <w:sz w:val="22"/>
          <w:szCs w:val="22"/>
        </w:rPr>
        <w:t xml:space="preserve">- Regolamento di esecuzione n. 809/2014 recante modalità di applicazione del reg. UE 1306/2013 per quanto riguarda il sistema integrato di gestione e di controllo, le misure di sviluppo rurale e la condizionalità; </w:t>
      </w:r>
    </w:p>
    <w:p w14:paraId="233D5E67" w14:textId="3DB53A7A" w:rsidR="00DC3EEA" w:rsidRPr="00193059" w:rsidRDefault="006978F8" w:rsidP="005E2CDA">
      <w:pPr>
        <w:ind w:firstLine="284"/>
        <w:jc w:val="both"/>
        <w:rPr>
          <w:sz w:val="22"/>
          <w:szCs w:val="22"/>
        </w:rPr>
      </w:pPr>
      <w:r w:rsidRPr="00193059">
        <w:rPr>
          <w:sz w:val="22"/>
          <w:szCs w:val="22"/>
        </w:rPr>
        <w:t xml:space="preserve">- </w:t>
      </w:r>
      <w:r w:rsidR="0077511A" w:rsidRPr="00193059">
        <w:rPr>
          <w:sz w:val="22"/>
          <w:szCs w:val="22"/>
        </w:rPr>
        <w:t>Regolamento delegato (UE) n. 640/2014 della Commissione, dell’11 marzo 2014, che integra il regolamento (UE) n. 1306/2013 del Parlamento europeo e del Consiglio per quanto riguarda il sistema integrato di gestione e di controllo e le condizioni per il rifiuto o la revoca di pagamenti nonché le sanzioni amministrative applicabili ai pagamenti diretti, al sostegno allo sviluppo rurale e alla condizionalità</w:t>
      </w:r>
    </w:p>
    <w:sectPr w:rsidR="00DC3EEA" w:rsidRPr="00193059" w:rsidSect="006E5B5A">
      <w:footerReference w:type="default" r:id="rId20"/>
      <w:footerReference w:type="first" r:id="rId21"/>
      <w:pgSz w:w="11906" w:h="16838"/>
      <w:pgMar w:top="1417"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92EC5" w14:textId="77777777" w:rsidR="00961BC2" w:rsidRDefault="00961BC2" w:rsidP="00930C28">
      <w:r>
        <w:separator/>
      </w:r>
    </w:p>
  </w:endnote>
  <w:endnote w:type="continuationSeparator" w:id="0">
    <w:p w14:paraId="722229AC" w14:textId="77777777" w:rsidR="00961BC2" w:rsidRDefault="00961BC2" w:rsidP="00930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Narrow">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525160"/>
      <w:docPartObj>
        <w:docPartGallery w:val="Page Numbers (Bottom of Page)"/>
        <w:docPartUnique/>
      </w:docPartObj>
    </w:sdtPr>
    <w:sdtEndPr/>
    <w:sdtContent>
      <w:p w14:paraId="699891F5" w14:textId="17B41EDF" w:rsidR="001C0FCF" w:rsidRDefault="001C0FCF">
        <w:pPr>
          <w:pStyle w:val="Pidipagina"/>
          <w:jc w:val="right"/>
        </w:pPr>
        <w:r>
          <w:fldChar w:fldCharType="begin"/>
        </w:r>
        <w:r>
          <w:instrText>PAGE   \* MERGEFORMAT</w:instrText>
        </w:r>
        <w:r>
          <w:fldChar w:fldCharType="separate"/>
        </w:r>
        <w:r w:rsidR="00893FF5">
          <w:rPr>
            <w:noProof/>
          </w:rPr>
          <w:t>7</w:t>
        </w:r>
        <w:r>
          <w:fldChar w:fldCharType="end"/>
        </w:r>
      </w:p>
    </w:sdtContent>
  </w:sdt>
  <w:p w14:paraId="67A72306" w14:textId="5C427D67" w:rsidR="001C0FCF" w:rsidRDefault="001C0FC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17AE9" w14:textId="5F5066E8" w:rsidR="006E5B5A" w:rsidRDefault="006E5B5A">
    <w:pPr>
      <w:pStyle w:val="Pidipagina"/>
    </w:pPr>
    <w:r>
      <w:rPr>
        <w:noProof/>
      </w:rPr>
      <mc:AlternateContent>
        <mc:Choice Requires="wps">
          <w:drawing>
            <wp:anchor distT="0" distB="0" distL="114300" distR="114300" simplePos="0" relativeHeight="251661312" behindDoc="0" locked="0" layoutInCell="1" allowOverlap="1" wp14:anchorId="4BED6989" wp14:editId="55DC0946">
              <wp:simplePos x="0" y="0"/>
              <wp:positionH relativeFrom="page">
                <wp:posOffset>15766</wp:posOffset>
              </wp:positionH>
              <wp:positionV relativeFrom="paragraph">
                <wp:posOffset>-2158409</wp:posOffset>
              </wp:positionV>
              <wp:extent cx="7534275" cy="2764330"/>
              <wp:effectExtent l="0" t="0" r="9525" b="0"/>
              <wp:wrapNone/>
              <wp:docPr id="7" name="Rettangolo 7"/>
              <wp:cNvGraphicFramePr/>
              <a:graphic xmlns:a="http://schemas.openxmlformats.org/drawingml/2006/main">
                <a:graphicData uri="http://schemas.microsoft.com/office/word/2010/wordprocessingShape">
                  <wps:wsp>
                    <wps:cNvSpPr/>
                    <wps:spPr>
                      <a:xfrm>
                        <a:off x="0" y="0"/>
                        <a:ext cx="7534275" cy="2764330"/>
                      </a:xfrm>
                      <a:prstGeom prst="rect">
                        <a:avLst/>
                      </a:prstGeom>
                      <a:solidFill>
                        <a:schemeClr val="accent4">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044915" id="Rettangolo 7" o:spid="_x0000_s1026" style="position:absolute;margin-left:1.25pt;margin-top:-169.95pt;width:593.25pt;height:217.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" fillcolor="#7f5f00 [1607]" stroked="f" strokeweight="1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4590" w14:textId="77777777" w:rsidR="00961BC2" w:rsidRDefault="00961BC2" w:rsidP="00930C28">
      <w:r>
        <w:separator/>
      </w:r>
    </w:p>
  </w:footnote>
  <w:footnote w:type="continuationSeparator" w:id="0">
    <w:p w14:paraId="49E5CBC0" w14:textId="77777777" w:rsidR="00961BC2" w:rsidRDefault="00961BC2" w:rsidP="00930C28">
      <w:r>
        <w:continuationSeparator/>
      </w:r>
    </w:p>
  </w:footnote>
  <w:footnote w:id="1">
    <w:p w14:paraId="680CE56E" w14:textId="1BBF79AF" w:rsidR="00DB368A" w:rsidRPr="007458AD" w:rsidRDefault="00DB368A" w:rsidP="00DB368A">
      <w:pPr>
        <w:pStyle w:val="Testonotaapidipagina"/>
        <w:rPr>
          <w:i/>
          <w:iCs/>
          <w:sz w:val="16"/>
          <w:szCs w:val="16"/>
        </w:rPr>
      </w:pPr>
      <w:r w:rsidRPr="00276CCF">
        <w:rPr>
          <w:rStyle w:val="Rimandonotaapidipagina"/>
          <w:sz w:val="16"/>
          <w:szCs w:val="16"/>
        </w:rPr>
        <w:footnoteRef/>
      </w:r>
      <w:r w:rsidRPr="00276CCF">
        <w:rPr>
          <w:sz w:val="16"/>
          <w:szCs w:val="16"/>
        </w:rPr>
        <w:t xml:space="preserve"> Rete Rurale</w:t>
      </w:r>
      <w:r>
        <w:rPr>
          <w:sz w:val="16"/>
          <w:szCs w:val="16"/>
        </w:rPr>
        <w:t xml:space="preserve">: </w:t>
      </w:r>
      <w:r w:rsidRPr="007458AD">
        <w:rPr>
          <w:i/>
          <w:iCs/>
          <w:sz w:val="16"/>
          <w:szCs w:val="16"/>
        </w:rPr>
        <w:t>“I controlli sui PSR 2014-202</w:t>
      </w:r>
      <w:r w:rsidR="00BC56F1">
        <w:rPr>
          <w:i/>
          <w:iCs/>
          <w:sz w:val="16"/>
          <w:szCs w:val="16"/>
        </w:rPr>
        <w:t>2</w:t>
      </w:r>
      <w:r w:rsidRPr="007458AD">
        <w:rPr>
          <w:i/>
          <w:iCs/>
          <w:sz w:val="16"/>
          <w:szCs w:val="16"/>
        </w:rPr>
        <w:t>. Report biennale di analisi degli audit della Commissione e della Corte dei Conti europea (dicembre 202</w:t>
      </w:r>
      <w:r w:rsidR="00BC56F1">
        <w:rPr>
          <w:i/>
          <w:iCs/>
          <w:sz w:val="16"/>
          <w:szCs w:val="16"/>
        </w:rPr>
        <w:t>2</w:t>
      </w:r>
      <w:r w:rsidRPr="007458AD">
        <w:rPr>
          <w:i/>
          <w:iCs/>
          <w:sz w:val="16"/>
          <w:szCs w:val="16"/>
        </w:rPr>
        <w:t>)”</w:t>
      </w:r>
    </w:p>
  </w:footnote>
  <w:footnote w:id="2">
    <w:p w14:paraId="32B6564D" w14:textId="77777777" w:rsidR="009E2F5A" w:rsidRDefault="009E2F5A" w:rsidP="009E2F5A">
      <w:pPr>
        <w:pStyle w:val="Testonotaapidipagina"/>
      </w:pPr>
      <w:r w:rsidRPr="00C831FB">
        <w:rPr>
          <w:rStyle w:val="Rimandonotaapidipagina"/>
          <w:sz w:val="18"/>
          <w:szCs w:val="18"/>
        </w:rPr>
        <w:footnoteRef/>
      </w:r>
      <w:r w:rsidRPr="00C831FB">
        <w:rPr>
          <w:sz w:val="18"/>
          <w:szCs w:val="18"/>
        </w:rPr>
        <w:t xml:space="preserve"> Ibidem</w:t>
      </w:r>
    </w:p>
  </w:footnote>
  <w:footnote w:id="3">
    <w:p w14:paraId="3F2D0EAC" w14:textId="193A6A22" w:rsidR="002A31DA" w:rsidRDefault="002A31DA">
      <w:pPr>
        <w:pStyle w:val="Testonotaapidipagina"/>
      </w:pPr>
      <w:r w:rsidRPr="00C831FB">
        <w:rPr>
          <w:rStyle w:val="Rimandonotaapidipagina"/>
          <w:sz w:val="18"/>
          <w:szCs w:val="18"/>
        </w:rPr>
        <w:footnoteRef/>
      </w:r>
      <w:r w:rsidRPr="00C831FB">
        <w:rPr>
          <w:sz w:val="18"/>
          <w:szCs w:val="18"/>
        </w:rPr>
        <w:t xml:space="preserve"> I</w:t>
      </w:r>
      <w:r w:rsidR="00C831FB" w:rsidRPr="00C831FB">
        <w:rPr>
          <w:sz w:val="18"/>
          <w:szCs w:val="18"/>
        </w:rPr>
        <w:t>bidem</w:t>
      </w:r>
    </w:p>
  </w:footnote>
  <w:footnote w:id="4">
    <w:p w14:paraId="3DF5DF5F" w14:textId="3BF80FFC" w:rsidR="002A31DA" w:rsidRDefault="002A31DA">
      <w:pPr>
        <w:pStyle w:val="Testonotaapidipagina"/>
      </w:pPr>
      <w:r w:rsidRPr="00730DC4">
        <w:rPr>
          <w:rStyle w:val="Rimandonotaapidipagina"/>
          <w:sz w:val="18"/>
        </w:rPr>
        <w:footnoteRef/>
      </w:r>
      <w:r w:rsidR="00730DC4" w:rsidRPr="00730DC4">
        <w:rPr>
          <w:sz w:val="18"/>
        </w:rPr>
        <w:t xml:space="preserve"> I</w:t>
      </w:r>
      <w:r w:rsidRPr="00730DC4">
        <w:rPr>
          <w:sz w:val="18"/>
        </w:rPr>
        <w:t>b</w:t>
      </w:r>
      <w:r w:rsidR="00730DC4" w:rsidRPr="00730DC4">
        <w:rPr>
          <w:sz w:val="18"/>
        </w:rPr>
        <w:t>id</w:t>
      </w:r>
      <w:r w:rsidRPr="00730DC4">
        <w:rPr>
          <w:sz w:val="18"/>
        </w:rPr>
        <w: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249A"/>
    <w:multiLevelType w:val="hybridMultilevel"/>
    <w:tmpl w:val="DE0055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D274DB"/>
    <w:multiLevelType w:val="hybridMultilevel"/>
    <w:tmpl w:val="CAFEFB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DB50AB"/>
    <w:multiLevelType w:val="hybridMultilevel"/>
    <w:tmpl w:val="FD9E2BD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9A7BF5"/>
    <w:multiLevelType w:val="hybridMultilevel"/>
    <w:tmpl w:val="767295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8155A2"/>
    <w:multiLevelType w:val="hybridMultilevel"/>
    <w:tmpl w:val="CC18397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571102"/>
    <w:multiLevelType w:val="hybridMultilevel"/>
    <w:tmpl w:val="2056001E"/>
    <w:lvl w:ilvl="0" w:tplc="BB1EF0DA">
      <w:numFmt w:val="bullet"/>
      <w:lvlText w:val="-"/>
      <w:lvlJc w:val="left"/>
      <w:pPr>
        <w:ind w:left="360" w:hanging="360"/>
      </w:pPr>
      <w:rPr>
        <w:rFonts w:ascii="Calibri" w:eastAsiaTheme="majorEastAsia"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657162F"/>
    <w:multiLevelType w:val="hybridMultilevel"/>
    <w:tmpl w:val="0FE8B938"/>
    <w:lvl w:ilvl="0" w:tplc="C6729FB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8F2B0D"/>
    <w:multiLevelType w:val="hybridMultilevel"/>
    <w:tmpl w:val="BB540A80"/>
    <w:lvl w:ilvl="0" w:tplc="B100DFFA">
      <w:numFmt w:val="bullet"/>
      <w:lvlText w:val="-"/>
      <w:lvlJc w:val="left"/>
      <w:pPr>
        <w:ind w:left="360" w:hanging="360"/>
      </w:pPr>
      <w:rPr>
        <w:rFonts w:ascii="Calibri" w:hAnsi="Calibri"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FC42FEE"/>
    <w:multiLevelType w:val="multilevel"/>
    <w:tmpl w:val="1180D3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35918EA"/>
    <w:multiLevelType w:val="hybridMultilevel"/>
    <w:tmpl w:val="107E024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3E468FF"/>
    <w:multiLevelType w:val="hybridMultilevel"/>
    <w:tmpl w:val="7FB0DFC6"/>
    <w:lvl w:ilvl="0" w:tplc="B100DFFA">
      <w:numFmt w:val="bullet"/>
      <w:lvlText w:val="-"/>
      <w:lvlJc w:val="left"/>
      <w:pPr>
        <w:ind w:left="360" w:hanging="360"/>
      </w:pPr>
      <w:rPr>
        <w:rFonts w:ascii="Calibri" w:hAnsi="Calibri"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66FE6A05"/>
    <w:multiLevelType w:val="hybridMultilevel"/>
    <w:tmpl w:val="BBA0A0B6"/>
    <w:lvl w:ilvl="0" w:tplc="46F0C3C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C036D3D"/>
    <w:multiLevelType w:val="hybridMultilevel"/>
    <w:tmpl w:val="107E024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DE117EA"/>
    <w:multiLevelType w:val="hybridMultilevel"/>
    <w:tmpl w:val="735C15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EC8349B"/>
    <w:multiLevelType w:val="hybridMultilevel"/>
    <w:tmpl w:val="ABE055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58254AC"/>
    <w:multiLevelType w:val="hybridMultilevel"/>
    <w:tmpl w:val="020AABC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4"/>
  </w:num>
  <w:num w:numId="4">
    <w:abstractNumId w:val="1"/>
  </w:num>
  <w:num w:numId="5">
    <w:abstractNumId w:val="4"/>
  </w:num>
  <w:num w:numId="6">
    <w:abstractNumId w:val="13"/>
  </w:num>
  <w:num w:numId="7">
    <w:abstractNumId w:val="15"/>
  </w:num>
  <w:num w:numId="8">
    <w:abstractNumId w:val="9"/>
  </w:num>
  <w:num w:numId="9">
    <w:abstractNumId w:val="2"/>
  </w:num>
  <w:num w:numId="10">
    <w:abstractNumId w:val="5"/>
  </w:num>
  <w:num w:numId="11">
    <w:abstractNumId w:val="8"/>
  </w:num>
  <w:num w:numId="12">
    <w:abstractNumId w:val="3"/>
  </w:num>
  <w:num w:numId="13">
    <w:abstractNumId w:val="6"/>
  </w:num>
  <w:num w:numId="14">
    <w:abstractNumId w:val="7"/>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it-IT" w:vendorID="64" w:dllVersion="6" w:nlCheck="1" w:checkStyle="0"/>
  <w:activeWritingStyle w:appName="MSWord" w:lang="it-IT" w:vendorID="64" w:dllVersion="4096" w:nlCheck="1" w:checkStyle="0"/>
  <w:activeWritingStyle w:appName="MSWord" w:lang="en-GB" w:vendorID="64" w:dllVersion="6" w:nlCheck="1" w:checkStyle="1"/>
  <w:activeWritingStyle w:appName="MSWord" w:lang="en-GB"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9D6"/>
    <w:rsid w:val="0000009D"/>
    <w:rsid w:val="000001AA"/>
    <w:rsid w:val="00001F85"/>
    <w:rsid w:val="0001454A"/>
    <w:rsid w:val="00015EAD"/>
    <w:rsid w:val="00031A32"/>
    <w:rsid w:val="00037B5A"/>
    <w:rsid w:val="0004072F"/>
    <w:rsid w:val="0004263E"/>
    <w:rsid w:val="000446E2"/>
    <w:rsid w:val="00045520"/>
    <w:rsid w:val="00045EBA"/>
    <w:rsid w:val="000476E9"/>
    <w:rsid w:val="0005258B"/>
    <w:rsid w:val="00064721"/>
    <w:rsid w:val="00064E1A"/>
    <w:rsid w:val="00066E35"/>
    <w:rsid w:val="00067636"/>
    <w:rsid w:val="0006792B"/>
    <w:rsid w:val="00067EFD"/>
    <w:rsid w:val="000725AE"/>
    <w:rsid w:val="00072DA7"/>
    <w:rsid w:val="000752CB"/>
    <w:rsid w:val="000834C0"/>
    <w:rsid w:val="00085755"/>
    <w:rsid w:val="00086022"/>
    <w:rsid w:val="00095721"/>
    <w:rsid w:val="000A2DD4"/>
    <w:rsid w:val="000A3274"/>
    <w:rsid w:val="000B4EBA"/>
    <w:rsid w:val="000B6F2D"/>
    <w:rsid w:val="000C335D"/>
    <w:rsid w:val="000D2412"/>
    <w:rsid w:val="000D6EC2"/>
    <w:rsid w:val="000E2B80"/>
    <w:rsid w:val="000E2E4A"/>
    <w:rsid w:val="000F6E0B"/>
    <w:rsid w:val="00102BF2"/>
    <w:rsid w:val="00103867"/>
    <w:rsid w:val="00114894"/>
    <w:rsid w:val="00121F20"/>
    <w:rsid w:val="00123FD2"/>
    <w:rsid w:val="00131DCE"/>
    <w:rsid w:val="001349EC"/>
    <w:rsid w:val="00135628"/>
    <w:rsid w:val="0014169A"/>
    <w:rsid w:val="00147831"/>
    <w:rsid w:val="0015090C"/>
    <w:rsid w:val="00153014"/>
    <w:rsid w:val="00162B67"/>
    <w:rsid w:val="001709C1"/>
    <w:rsid w:val="0017198E"/>
    <w:rsid w:val="00174761"/>
    <w:rsid w:val="00193059"/>
    <w:rsid w:val="0019354B"/>
    <w:rsid w:val="0019388D"/>
    <w:rsid w:val="00195915"/>
    <w:rsid w:val="00196599"/>
    <w:rsid w:val="001968C8"/>
    <w:rsid w:val="00196D08"/>
    <w:rsid w:val="001A32A2"/>
    <w:rsid w:val="001B306B"/>
    <w:rsid w:val="001B4315"/>
    <w:rsid w:val="001B4E48"/>
    <w:rsid w:val="001C0FCF"/>
    <w:rsid w:val="001C19D6"/>
    <w:rsid w:val="001C5F6D"/>
    <w:rsid w:val="001C6587"/>
    <w:rsid w:val="001D349E"/>
    <w:rsid w:val="001E0F2C"/>
    <w:rsid w:val="001E429D"/>
    <w:rsid w:val="001E7D58"/>
    <w:rsid w:val="001F0D1C"/>
    <w:rsid w:val="00204697"/>
    <w:rsid w:val="00227393"/>
    <w:rsid w:val="00235F97"/>
    <w:rsid w:val="0025259D"/>
    <w:rsid w:val="0025766A"/>
    <w:rsid w:val="00260A19"/>
    <w:rsid w:val="0026777B"/>
    <w:rsid w:val="00276CCF"/>
    <w:rsid w:val="002862D1"/>
    <w:rsid w:val="00286DC9"/>
    <w:rsid w:val="0028726E"/>
    <w:rsid w:val="00297C6E"/>
    <w:rsid w:val="002A31DA"/>
    <w:rsid w:val="002A36AA"/>
    <w:rsid w:val="002C1BD0"/>
    <w:rsid w:val="002C6B70"/>
    <w:rsid w:val="002C6CBE"/>
    <w:rsid w:val="002D0297"/>
    <w:rsid w:val="002E069F"/>
    <w:rsid w:val="002E39C2"/>
    <w:rsid w:val="002E4C7D"/>
    <w:rsid w:val="002F0741"/>
    <w:rsid w:val="002F580F"/>
    <w:rsid w:val="00304A4B"/>
    <w:rsid w:val="00313AE0"/>
    <w:rsid w:val="003215BE"/>
    <w:rsid w:val="003268EE"/>
    <w:rsid w:val="00336089"/>
    <w:rsid w:val="003365FD"/>
    <w:rsid w:val="003432F1"/>
    <w:rsid w:val="003461A8"/>
    <w:rsid w:val="003510CE"/>
    <w:rsid w:val="0035131B"/>
    <w:rsid w:val="003654B4"/>
    <w:rsid w:val="0037624B"/>
    <w:rsid w:val="0038182A"/>
    <w:rsid w:val="00381837"/>
    <w:rsid w:val="00384F24"/>
    <w:rsid w:val="00393F4C"/>
    <w:rsid w:val="003A1275"/>
    <w:rsid w:val="003A69AC"/>
    <w:rsid w:val="003C2AF4"/>
    <w:rsid w:val="003C42DE"/>
    <w:rsid w:val="003C7148"/>
    <w:rsid w:val="003D67E9"/>
    <w:rsid w:val="003E1887"/>
    <w:rsid w:val="00401177"/>
    <w:rsid w:val="00403647"/>
    <w:rsid w:val="00405AA4"/>
    <w:rsid w:val="00406329"/>
    <w:rsid w:val="00414291"/>
    <w:rsid w:val="00414936"/>
    <w:rsid w:val="00436AE3"/>
    <w:rsid w:val="00444292"/>
    <w:rsid w:val="00457792"/>
    <w:rsid w:val="004674CA"/>
    <w:rsid w:val="00474210"/>
    <w:rsid w:val="00475479"/>
    <w:rsid w:val="00476DE1"/>
    <w:rsid w:val="004772DC"/>
    <w:rsid w:val="00482D1A"/>
    <w:rsid w:val="00485B75"/>
    <w:rsid w:val="00496BCB"/>
    <w:rsid w:val="00496CA0"/>
    <w:rsid w:val="004B6E26"/>
    <w:rsid w:val="004C6470"/>
    <w:rsid w:val="004D3BD9"/>
    <w:rsid w:val="004D4BB4"/>
    <w:rsid w:val="004E0CD4"/>
    <w:rsid w:val="004E1F21"/>
    <w:rsid w:val="004E3C72"/>
    <w:rsid w:val="004E3F8C"/>
    <w:rsid w:val="0050305C"/>
    <w:rsid w:val="00517052"/>
    <w:rsid w:val="005212B9"/>
    <w:rsid w:val="00534DEE"/>
    <w:rsid w:val="00535C3C"/>
    <w:rsid w:val="00536449"/>
    <w:rsid w:val="0053682C"/>
    <w:rsid w:val="005504B8"/>
    <w:rsid w:val="00566A6F"/>
    <w:rsid w:val="00566D79"/>
    <w:rsid w:val="00575AF4"/>
    <w:rsid w:val="00591B4C"/>
    <w:rsid w:val="00592D76"/>
    <w:rsid w:val="005A0845"/>
    <w:rsid w:val="005B7F42"/>
    <w:rsid w:val="005C2D3A"/>
    <w:rsid w:val="005C5C2E"/>
    <w:rsid w:val="005D0124"/>
    <w:rsid w:val="005D0F92"/>
    <w:rsid w:val="005D1E22"/>
    <w:rsid w:val="005D2AC4"/>
    <w:rsid w:val="005E2CDA"/>
    <w:rsid w:val="005E5F0A"/>
    <w:rsid w:val="005E64F3"/>
    <w:rsid w:val="00607AF3"/>
    <w:rsid w:val="00623FB5"/>
    <w:rsid w:val="00625CD2"/>
    <w:rsid w:val="00630417"/>
    <w:rsid w:val="0065394F"/>
    <w:rsid w:val="00661D01"/>
    <w:rsid w:val="00666296"/>
    <w:rsid w:val="0067590B"/>
    <w:rsid w:val="00676D2E"/>
    <w:rsid w:val="006978F8"/>
    <w:rsid w:val="00697EE0"/>
    <w:rsid w:val="006A5245"/>
    <w:rsid w:val="006B5367"/>
    <w:rsid w:val="006B62FC"/>
    <w:rsid w:val="006C21F2"/>
    <w:rsid w:val="006D2F56"/>
    <w:rsid w:val="006E1022"/>
    <w:rsid w:val="006E5B5A"/>
    <w:rsid w:val="006E68F3"/>
    <w:rsid w:val="006F0C65"/>
    <w:rsid w:val="0070191E"/>
    <w:rsid w:val="00707B97"/>
    <w:rsid w:val="007107CA"/>
    <w:rsid w:val="0072048B"/>
    <w:rsid w:val="007218ED"/>
    <w:rsid w:val="007238EC"/>
    <w:rsid w:val="00725323"/>
    <w:rsid w:val="00725A68"/>
    <w:rsid w:val="00730DC4"/>
    <w:rsid w:val="00730E53"/>
    <w:rsid w:val="0074155F"/>
    <w:rsid w:val="007458AD"/>
    <w:rsid w:val="00762FC2"/>
    <w:rsid w:val="0076554C"/>
    <w:rsid w:val="007729D3"/>
    <w:rsid w:val="0077511A"/>
    <w:rsid w:val="00777C76"/>
    <w:rsid w:val="007A228A"/>
    <w:rsid w:val="007A4241"/>
    <w:rsid w:val="007A4A45"/>
    <w:rsid w:val="007A5175"/>
    <w:rsid w:val="007B48F8"/>
    <w:rsid w:val="007C2A6C"/>
    <w:rsid w:val="007C6A21"/>
    <w:rsid w:val="007D19B8"/>
    <w:rsid w:val="007D36B1"/>
    <w:rsid w:val="007D58EC"/>
    <w:rsid w:val="007E1262"/>
    <w:rsid w:val="007E2D9B"/>
    <w:rsid w:val="007E597E"/>
    <w:rsid w:val="00802AFC"/>
    <w:rsid w:val="0080539C"/>
    <w:rsid w:val="00817C68"/>
    <w:rsid w:val="00821CF6"/>
    <w:rsid w:val="008230C4"/>
    <w:rsid w:val="008474F6"/>
    <w:rsid w:val="0085381D"/>
    <w:rsid w:val="00856DED"/>
    <w:rsid w:val="00856F64"/>
    <w:rsid w:val="0087323D"/>
    <w:rsid w:val="008745BE"/>
    <w:rsid w:val="00875732"/>
    <w:rsid w:val="008810A9"/>
    <w:rsid w:val="00893FF5"/>
    <w:rsid w:val="00895D3E"/>
    <w:rsid w:val="008A2328"/>
    <w:rsid w:val="008B2765"/>
    <w:rsid w:val="008B2E60"/>
    <w:rsid w:val="008B7EF0"/>
    <w:rsid w:val="008D1178"/>
    <w:rsid w:val="008D7DB2"/>
    <w:rsid w:val="008E1DAC"/>
    <w:rsid w:val="009202CF"/>
    <w:rsid w:val="00924C8C"/>
    <w:rsid w:val="00930C28"/>
    <w:rsid w:val="009401D0"/>
    <w:rsid w:val="00954641"/>
    <w:rsid w:val="009560F0"/>
    <w:rsid w:val="00961BC2"/>
    <w:rsid w:val="00971CEA"/>
    <w:rsid w:val="00972969"/>
    <w:rsid w:val="00987A24"/>
    <w:rsid w:val="0099527E"/>
    <w:rsid w:val="009B4254"/>
    <w:rsid w:val="009C10BD"/>
    <w:rsid w:val="009D142E"/>
    <w:rsid w:val="009D2A96"/>
    <w:rsid w:val="009E2918"/>
    <w:rsid w:val="009E2F5A"/>
    <w:rsid w:val="009F20AA"/>
    <w:rsid w:val="009F372A"/>
    <w:rsid w:val="00A1285A"/>
    <w:rsid w:val="00A160EC"/>
    <w:rsid w:val="00A17174"/>
    <w:rsid w:val="00A34167"/>
    <w:rsid w:val="00A425A8"/>
    <w:rsid w:val="00A47B9E"/>
    <w:rsid w:val="00A5020A"/>
    <w:rsid w:val="00A54A73"/>
    <w:rsid w:val="00A653F2"/>
    <w:rsid w:val="00A655A3"/>
    <w:rsid w:val="00A674CF"/>
    <w:rsid w:val="00A811AD"/>
    <w:rsid w:val="00A878CB"/>
    <w:rsid w:val="00A9052C"/>
    <w:rsid w:val="00A972D2"/>
    <w:rsid w:val="00AA1190"/>
    <w:rsid w:val="00AB22A5"/>
    <w:rsid w:val="00AB6647"/>
    <w:rsid w:val="00AC0D13"/>
    <w:rsid w:val="00AD61BD"/>
    <w:rsid w:val="00AE115F"/>
    <w:rsid w:val="00AE34AD"/>
    <w:rsid w:val="00AE3501"/>
    <w:rsid w:val="00AE6CFE"/>
    <w:rsid w:val="00AF6A1E"/>
    <w:rsid w:val="00B01707"/>
    <w:rsid w:val="00B0178F"/>
    <w:rsid w:val="00B137F2"/>
    <w:rsid w:val="00B13A46"/>
    <w:rsid w:val="00B232F2"/>
    <w:rsid w:val="00B253A5"/>
    <w:rsid w:val="00B27D76"/>
    <w:rsid w:val="00B3200D"/>
    <w:rsid w:val="00B33F26"/>
    <w:rsid w:val="00B37121"/>
    <w:rsid w:val="00B51401"/>
    <w:rsid w:val="00B574EA"/>
    <w:rsid w:val="00B61B53"/>
    <w:rsid w:val="00B65F8D"/>
    <w:rsid w:val="00B903E1"/>
    <w:rsid w:val="00B97F17"/>
    <w:rsid w:val="00BA13F8"/>
    <w:rsid w:val="00BA57B0"/>
    <w:rsid w:val="00BB39F7"/>
    <w:rsid w:val="00BB5B2C"/>
    <w:rsid w:val="00BB72F5"/>
    <w:rsid w:val="00BC56F1"/>
    <w:rsid w:val="00BD3800"/>
    <w:rsid w:val="00BE2611"/>
    <w:rsid w:val="00BE2F81"/>
    <w:rsid w:val="00BE4822"/>
    <w:rsid w:val="00C06105"/>
    <w:rsid w:val="00C16EF0"/>
    <w:rsid w:val="00C228CF"/>
    <w:rsid w:val="00C255C8"/>
    <w:rsid w:val="00C25F76"/>
    <w:rsid w:val="00C2747A"/>
    <w:rsid w:val="00C36BD1"/>
    <w:rsid w:val="00C51390"/>
    <w:rsid w:val="00C61468"/>
    <w:rsid w:val="00C831FB"/>
    <w:rsid w:val="00C905F3"/>
    <w:rsid w:val="00CA5114"/>
    <w:rsid w:val="00CB1274"/>
    <w:rsid w:val="00CB7591"/>
    <w:rsid w:val="00CC65BE"/>
    <w:rsid w:val="00CD4325"/>
    <w:rsid w:val="00CD4A78"/>
    <w:rsid w:val="00CE1B85"/>
    <w:rsid w:val="00CF0540"/>
    <w:rsid w:val="00CF1788"/>
    <w:rsid w:val="00D02BF9"/>
    <w:rsid w:val="00D03F06"/>
    <w:rsid w:val="00D06491"/>
    <w:rsid w:val="00D06C5F"/>
    <w:rsid w:val="00D127A9"/>
    <w:rsid w:val="00D12EDE"/>
    <w:rsid w:val="00D32BDA"/>
    <w:rsid w:val="00D33995"/>
    <w:rsid w:val="00D4100C"/>
    <w:rsid w:val="00D44F11"/>
    <w:rsid w:val="00D537ED"/>
    <w:rsid w:val="00D540BF"/>
    <w:rsid w:val="00D66A98"/>
    <w:rsid w:val="00D670EA"/>
    <w:rsid w:val="00D73A26"/>
    <w:rsid w:val="00D822F9"/>
    <w:rsid w:val="00D84191"/>
    <w:rsid w:val="00D8765B"/>
    <w:rsid w:val="00D9128E"/>
    <w:rsid w:val="00D92AA4"/>
    <w:rsid w:val="00D96D95"/>
    <w:rsid w:val="00DA44F2"/>
    <w:rsid w:val="00DA5975"/>
    <w:rsid w:val="00DB368A"/>
    <w:rsid w:val="00DB4926"/>
    <w:rsid w:val="00DC3EEA"/>
    <w:rsid w:val="00DC7F9F"/>
    <w:rsid w:val="00DD6B5E"/>
    <w:rsid w:val="00DE52D5"/>
    <w:rsid w:val="00DF032A"/>
    <w:rsid w:val="00DF1884"/>
    <w:rsid w:val="00DF19DD"/>
    <w:rsid w:val="00DF5A3B"/>
    <w:rsid w:val="00DF64D9"/>
    <w:rsid w:val="00DF7566"/>
    <w:rsid w:val="00E417B4"/>
    <w:rsid w:val="00E430F9"/>
    <w:rsid w:val="00E46ACF"/>
    <w:rsid w:val="00E479A8"/>
    <w:rsid w:val="00E50BCB"/>
    <w:rsid w:val="00E5132A"/>
    <w:rsid w:val="00E5185A"/>
    <w:rsid w:val="00E53BDE"/>
    <w:rsid w:val="00E548D5"/>
    <w:rsid w:val="00E72A15"/>
    <w:rsid w:val="00E8238C"/>
    <w:rsid w:val="00E836FE"/>
    <w:rsid w:val="00E86AA7"/>
    <w:rsid w:val="00E87948"/>
    <w:rsid w:val="00E9233D"/>
    <w:rsid w:val="00EA050A"/>
    <w:rsid w:val="00EB3D54"/>
    <w:rsid w:val="00EB51DE"/>
    <w:rsid w:val="00EC5E25"/>
    <w:rsid w:val="00EC7E93"/>
    <w:rsid w:val="00ED237D"/>
    <w:rsid w:val="00ED4DA6"/>
    <w:rsid w:val="00EE693A"/>
    <w:rsid w:val="00F04E6D"/>
    <w:rsid w:val="00F055A7"/>
    <w:rsid w:val="00F2066B"/>
    <w:rsid w:val="00F20CBC"/>
    <w:rsid w:val="00F24824"/>
    <w:rsid w:val="00F2755B"/>
    <w:rsid w:val="00F31406"/>
    <w:rsid w:val="00F40127"/>
    <w:rsid w:val="00F44429"/>
    <w:rsid w:val="00F65C94"/>
    <w:rsid w:val="00F66C48"/>
    <w:rsid w:val="00F67E06"/>
    <w:rsid w:val="00F67EDE"/>
    <w:rsid w:val="00F90BB1"/>
    <w:rsid w:val="00F93002"/>
    <w:rsid w:val="00FB4189"/>
    <w:rsid w:val="00FC4545"/>
    <w:rsid w:val="00FC4838"/>
    <w:rsid w:val="00FC5B74"/>
    <w:rsid w:val="00FD1BB5"/>
    <w:rsid w:val="00FD402A"/>
    <w:rsid w:val="00FE08C7"/>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ADC5C47"/>
  <w15:chartTrackingRefBased/>
  <w15:docId w15:val="{E3704555-BA8B-4043-AC2F-509C2481C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0C28"/>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930C2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037B5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30C28"/>
    <w:pPr>
      <w:tabs>
        <w:tab w:val="center" w:pos="4819"/>
        <w:tab w:val="right" w:pos="9638"/>
      </w:tabs>
    </w:pPr>
  </w:style>
  <w:style w:type="character" w:customStyle="1" w:styleId="IntestazioneCarattere">
    <w:name w:val="Intestazione Carattere"/>
    <w:basedOn w:val="Carpredefinitoparagrafo"/>
    <w:link w:val="Intestazione"/>
    <w:uiPriority w:val="99"/>
    <w:rsid w:val="00930C2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30C28"/>
    <w:pPr>
      <w:tabs>
        <w:tab w:val="center" w:pos="4819"/>
        <w:tab w:val="right" w:pos="9638"/>
      </w:tabs>
    </w:pPr>
  </w:style>
  <w:style w:type="character" w:customStyle="1" w:styleId="PidipaginaCarattere">
    <w:name w:val="Piè di pagina Carattere"/>
    <w:basedOn w:val="Carpredefinitoparagrafo"/>
    <w:link w:val="Pidipagina"/>
    <w:uiPriority w:val="99"/>
    <w:rsid w:val="00930C28"/>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930C28"/>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930C28"/>
    <w:pPr>
      <w:spacing w:line="259" w:lineRule="auto"/>
      <w:outlineLvl w:val="9"/>
    </w:pPr>
  </w:style>
  <w:style w:type="paragraph" w:styleId="Sommario1">
    <w:name w:val="toc 1"/>
    <w:basedOn w:val="Normale"/>
    <w:next w:val="Normale"/>
    <w:autoRedefine/>
    <w:uiPriority w:val="39"/>
    <w:unhideWhenUsed/>
    <w:rsid w:val="00930C28"/>
    <w:pPr>
      <w:spacing w:after="100"/>
    </w:pPr>
  </w:style>
  <w:style w:type="character" w:styleId="Collegamentoipertestuale">
    <w:name w:val="Hyperlink"/>
    <w:basedOn w:val="Carpredefinitoparagrafo"/>
    <w:uiPriority w:val="99"/>
    <w:unhideWhenUsed/>
    <w:rsid w:val="00930C28"/>
    <w:rPr>
      <w:color w:val="0563C1" w:themeColor="hyperlink"/>
      <w:u w:val="single"/>
    </w:rPr>
  </w:style>
  <w:style w:type="paragraph" w:styleId="Titolo">
    <w:name w:val="Title"/>
    <w:basedOn w:val="Normale"/>
    <w:next w:val="Normale"/>
    <w:link w:val="TitoloCarattere"/>
    <w:uiPriority w:val="10"/>
    <w:qFormat/>
    <w:rsid w:val="001C0FCF"/>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C0FCF"/>
    <w:rPr>
      <w:rFonts w:asciiTheme="majorHAnsi" w:eastAsiaTheme="majorEastAsia" w:hAnsiTheme="majorHAnsi" w:cstheme="majorBidi"/>
      <w:spacing w:val="-10"/>
      <w:kern w:val="28"/>
      <w:sz w:val="56"/>
      <w:szCs w:val="56"/>
      <w:lang w:eastAsia="it-IT"/>
    </w:rPr>
  </w:style>
  <w:style w:type="paragraph" w:styleId="Nessunaspaziatura">
    <w:name w:val="No Spacing"/>
    <w:link w:val="NessunaspaziaturaCarattere"/>
    <w:uiPriority w:val="1"/>
    <w:qFormat/>
    <w:rsid w:val="006E5B5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6E5B5A"/>
    <w:rPr>
      <w:rFonts w:eastAsiaTheme="minorEastAsia"/>
      <w:lang w:eastAsia="it-IT"/>
    </w:rPr>
  </w:style>
  <w:style w:type="character" w:customStyle="1" w:styleId="Menzionenonrisolta1">
    <w:name w:val="Menzione non risolta1"/>
    <w:basedOn w:val="Carpredefinitoparagrafo"/>
    <w:uiPriority w:val="99"/>
    <w:semiHidden/>
    <w:unhideWhenUsed/>
    <w:rsid w:val="00195915"/>
    <w:rPr>
      <w:color w:val="605E5C"/>
      <w:shd w:val="clear" w:color="auto" w:fill="E1DFDD"/>
    </w:rPr>
  </w:style>
  <w:style w:type="paragraph" w:styleId="Testonotaapidipagina">
    <w:name w:val="footnote text"/>
    <w:basedOn w:val="Normale"/>
    <w:link w:val="TestonotaapidipaginaCarattere"/>
    <w:uiPriority w:val="99"/>
    <w:semiHidden/>
    <w:unhideWhenUsed/>
    <w:rsid w:val="00276CCF"/>
    <w:rPr>
      <w:sz w:val="20"/>
      <w:szCs w:val="20"/>
    </w:rPr>
  </w:style>
  <w:style w:type="character" w:customStyle="1" w:styleId="TestonotaapidipaginaCarattere">
    <w:name w:val="Testo nota a piè di pagina Carattere"/>
    <w:basedOn w:val="Carpredefinitoparagrafo"/>
    <w:link w:val="Testonotaapidipagina"/>
    <w:uiPriority w:val="99"/>
    <w:semiHidden/>
    <w:rsid w:val="00276CC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276CCF"/>
    <w:rPr>
      <w:vertAlign w:val="superscript"/>
    </w:rPr>
  </w:style>
  <w:style w:type="character" w:customStyle="1" w:styleId="fontstyle01">
    <w:name w:val="fontstyle01"/>
    <w:basedOn w:val="Carpredefinitoparagrafo"/>
    <w:rsid w:val="00475479"/>
    <w:rPr>
      <w:rFonts w:ascii="TimesNewRomanPSMT" w:hAnsi="TimesNewRomanPSMT" w:hint="default"/>
      <w:b w:val="0"/>
      <w:bCs w:val="0"/>
      <w:i w:val="0"/>
      <w:iCs w:val="0"/>
      <w:color w:val="000000"/>
      <w:sz w:val="24"/>
      <w:szCs w:val="24"/>
    </w:rPr>
  </w:style>
  <w:style w:type="paragraph" w:styleId="Paragrafoelenco">
    <w:name w:val="List Paragraph"/>
    <w:basedOn w:val="Normale"/>
    <w:uiPriority w:val="34"/>
    <w:qFormat/>
    <w:rsid w:val="00625CD2"/>
    <w:pPr>
      <w:ind w:left="720"/>
      <w:contextualSpacing/>
    </w:pPr>
  </w:style>
  <w:style w:type="paragraph" w:styleId="NormaleWeb">
    <w:name w:val="Normal (Web)"/>
    <w:basedOn w:val="Normale"/>
    <w:uiPriority w:val="99"/>
    <w:semiHidden/>
    <w:unhideWhenUsed/>
    <w:rsid w:val="00AA1190"/>
    <w:rPr>
      <w:rFonts w:eastAsiaTheme="minorHAnsi"/>
    </w:rPr>
  </w:style>
  <w:style w:type="character" w:styleId="Enfasicorsivo">
    <w:name w:val="Emphasis"/>
    <w:basedOn w:val="Carpredefinitoparagrafo"/>
    <w:uiPriority w:val="20"/>
    <w:qFormat/>
    <w:rsid w:val="00AA1190"/>
    <w:rPr>
      <w:i/>
      <w:iCs/>
    </w:rPr>
  </w:style>
  <w:style w:type="character" w:customStyle="1" w:styleId="Titolo2Carattere">
    <w:name w:val="Titolo 2 Carattere"/>
    <w:basedOn w:val="Carpredefinitoparagrafo"/>
    <w:link w:val="Titolo2"/>
    <w:uiPriority w:val="9"/>
    <w:semiHidden/>
    <w:rsid w:val="00037B5A"/>
    <w:rPr>
      <w:rFonts w:asciiTheme="majorHAnsi" w:eastAsiaTheme="majorEastAsia" w:hAnsiTheme="majorHAnsi" w:cstheme="majorBidi"/>
      <w:color w:val="2F5496" w:themeColor="accent1" w:themeShade="BF"/>
      <w:sz w:val="26"/>
      <w:szCs w:val="26"/>
      <w:lang w:eastAsia="it-IT"/>
    </w:rPr>
  </w:style>
  <w:style w:type="paragraph" w:styleId="Sommario2">
    <w:name w:val="toc 2"/>
    <w:basedOn w:val="Normale"/>
    <w:next w:val="Normale"/>
    <w:autoRedefine/>
    <w:uiPriority w:val="39"/>
    <w:unhideWhenUsed/>
    <w:rsid w:val="00037B5A"/>
    <w:pPr>
      <w:spacing w:after="100"/>
      <w:ind w:left="240"/>
    </w:pPr>
  </w:style>
  <w:style w:type="character" w:customStyle="1" w:styleId="Menzionenonrisolta2">
    <w:name w:val="Menzione non risolta2"/>
    <w:basedOn w:val="Carpredefinitoparagrafo"/>
    <w:uiPriority w:val="99"/>
    <w:semiHidden/>
    <w:unhideWhenUsed/>
    <w:rsid w:val="00F24824"/>
    <w:rPr>
      <w:color w:val="605E5C"/>
      <w:shd w:val="clear" w:color="auto" w:fill="E1DFDD"/>
    </w:rPr>
  </w:style>
  <w:style w:type="character" w:styleId="Collegamentovisitato">
    <w:name w:val="FollowedHyperlink"/>
    <w:basedOn w:val="Carpredefinitoparagrafo"/>
    <w:uiPriority w:val="99"/>
    <w:semiHidden/>
    <w:unhideWhenUsed/>
    <w:rsid w:val="00A655A3"/>
    <w:rPr>
      <w:color w:val="954F72" w:themeColor="followedHyperlink"/>
      <w:u w:val="single"/>
    </w:rPr>
  </w:style>
  <w:style w:type="paragraph" w:styleId="Testofumetto">
    <w:name w:val="Balloon Text"/>
    <w:basedOn w:val="Normale"/>
    <w:link w:val="TestofumettoCarattere"/>
    <w:uiPriority w:val="99"/>
    <w:semiHidden/>
    <w:unhideWhenUsed/>
    <w:rsid w:val="00AC0D1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0D13"/>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C0D13"/>
    <w:rPr>
      <w:sz w:val="16"/>
      <w:szCs w:val="16"/>
    </w:rPr>
  </w:style>
  <w:style w:type="paragraph" w:styleId="Testocommento">
    <w:name w:val="annotation text"/>
    <w:basedOn w:val="Normale"/>
    <w:link w:val="TestocommentoCarattere"/>
    <w:uiPriority w:val="99"/>
    <w:semiHidden/>
    <w:unhideWhenUsed/>
    <w:rsid w:val="00AC0D13"/>
    <w:rPr>
      <w:sz w:val="20"/>
      <w:szCs w:val="20"/>
    </w:rPr>
  </w:style>
  <w:style w:type="character" w:customStyle="1" w:styleId="TestocommentoCarattere">
    <w:name w:val="Testo commento Carattere"/>
    <w:basedOn w:val="Carpredefinitoparagrafo"/>
    <w:link w:val="Testocommento"/>
    <w:uiPriority w:val="99"/>
    <w:semiHidden/>
    <w:rsid w:val="00AC0D13"/>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C0D13"/>
    <w:rPr>
      <w:b/>
      <w:bCs/>
    </w:rPr>
  </w:style>
  <w:style w:type="character" w:customStyle="1" w:styleId="SoggettocommentoCarattere">
    <w:name w:val="Soggetto commento Carattere"/>
    <w:basedOn w:val="TestocommentoCarattere"/>
    <w:link w:val="Soggettocommento"/>
    <w:uiPriority w:val="99"/>
    <w:semiHidden/>
    <w:rsid w:val="00AC0D13"/>
    <w:rPr>
      <w:rFonts w:ascii="Times New Roman" w:eastAsia="Times New Roman" w:hAnsi="Times New Roman" w:cs="Times New Roman"/>
      <w:b/>
      <w:bCs/>
      <w:sz w:val="20"/>
      <w:szCs w:val="20"/>
      <w:lang w:eastAsia="it-IT"/>
    </w:rPr>
  </w:style>
  <w:style w:type="paragraph" w:styleId="Revisione">
    <w:name w:val="Revision"/>
    <w:hidden/>
    <w:uiPriority w:val="99"/>
    <w:semiHidden/>
    <w:rsid w:val="002E39C2"/>
    <w:pPr>
      <w:spacing w:after="0" w:line="240" w:lineRule="auto"/>
    </w:pPr>
    <w:rPr>
      <w:rFonts w:ascii="Times New Roman" w:eastAsia="Times New Roman" w:hAnsi="Times New Roman" w:cs="Times New Roman"/>
      <w:sz w:val="24"/>
      <w:szCs w:val="24"/>
      <w:lang w:eastAsia="it-IT"/>
    </w:rPr>
  </w:style>
  <w:style w:type="character" w:customStyle="1" w:styleId="Menzionenonrisolta3">
    <w:name w:val="Menzione non risolta3"/>
    <w:basedOn w:val="Carpredefinitoparagrafo"/>
    <w:uiPriority w:val="99"/>
    <w:semiHidden/>
    <w:unhideWhenUsed/>
    <w:rsid w:val="005E2CDA"/>
    <w:rPr>
      <w:color w:val="605E5C"/>
      <w:shd w:val="clear" w:color="auto" w:fill="E1DFDD"/>
    </w:rPr>
  </w:style>
  <w:style w:type="character" w:customStyle="1" w:styleId="UnresolvedMention">
    <w:name w:val="Unresolved Mention"/>
    <w:basedOn w:val="Carpredefinitoparagrafo"/>
    <w:uiPriority w:val="99"/>
    <w:semiHidden/>
    <w:unhideWhenUsed/>
    <w:rsid w:val="002F58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630">
      <w:bodyDiv w:val="1"/>
      <w:marLeft w:val="0"/>
      <w:marRight w:val="0"/>
      <w:marTop w:val="0"/>
      <w:marBottom w:val="0"/>
      <w:divBdr>
        <w:top w:val="none" w:sz="0" w:space="0" w:color="auto"/>
        <w:left w:val="none" w:sz="0" w:space="0" w:color="auto"/>
        <w:bottom w:val="none" w:sz="0" w:space="0" w:color="auto"/>
        <w:right w:val="none" w:sz="0" w:space="0" w:color="auto"/>
      </w:divBdr>
    </w:div>
    <w:div w:id="334040834">
      <w:bodyDiv w:val="1"/>
      <w:marLeft w:val="0"/>
      <w:marRight w:val="0"/>
      <w:marTop w:val="0"/>
      <w:marBottom w:val="0"/>
      <w:divBdr>
        <w:top w:val="none" w:sz="0" w:space="0" w:color="auto"/>
        <w:left w:val="none" w:sz="0" w:space="0" w:color="auto"/>
        <w:bottom w:val="none" w:sz="0" w:space="0" w:color="auto"/>
        <w:right w:val="none" w:sz="0" w:space="0" w:color="auto"/>
      </w:divBdr>
    </w:div>
    <w:div w:id="382599568">
      <w:bodyDiv w:val="1"/>
      <w:marLeft w:val="0"/>
      <w:marRight w:val="0"/>
      <w:marTop w:val="0"/>
      <w:marBottom w:val="0"/>
      <w:divBdr>
        <w:top w:val="none" w:sz="0" w:space="0" w:color="auto"/>
        <w:left w:val="none" w:sz="0" w:space="0" w:color="auto"/>
        <w:bottom w:val="none" w:sz="0" w:space="0" w:color="auto"/>
        <w:right w:val="none" w:sz="0" w:space="0" w:color="auto"/>
      </w:divBdr>
    </w:div>
    <w:div w:id="530339538">
      <w:bodyDiv w:val="1"/>
      <w:marLeft w:val="0"/>
      <w:marRight w:val="0"/>
      <w:marTop w:val="0"/>
      <w:marBottom w:val="0"/>
      <w:divBdr>
        <w:top w:val="none" w:sz="0" w:space="0" w:color="auto"/>
        <w:left w:val="none" w:sz="0" w:space="0" w:color="auto"/>
        <w:bottom w:val="none" w:sz="0" w:space="0" w:color="auto"/>
        <w:right w:val="none" w:sz="0" w:space="0" w:color="auto"/>
      </w:divBdr>
    </w:div>
    <w:div w:id="641665379">
      <w:bodyDiv w:val="1"/>
      <w:marLeft w:val="0"/>
      <w:marRight w:val="0"/>
      <w:marTop w:val="0"/>
      <w:marBottom w:val="0"/>
      <w:divBdr>
        <w:top w:val="none" w:sz="0" w:space="0" w:color="auto"/>
        <w:left w:val="none" w:sz="0" w:space="0" w:color="auto"/>
        <w:bottom w:val="none" w:sz="0" w:space="0" w:color="auto"/>
        <w:right w:val="none" w:sz="0" w:space="0" w:color="auto"/>
      </w:divBdr>
    </w:div>
    <w:div w:id="649483859">
      <w:bodyDiv w:val="1"/>
      <w:marLeft w:val="0"/>
      <w:marRight w:val="0"/>
      <w:marTop w:val="0"/>
      <w:marBottom w:val="0"/>
      <w:divBdr>
        <w:top w:val="none" w:sz="0" w:space="0" w:color="auto"/>
        <w:left w:val="none" w:sz="0" w:space="0" w:color="auto"/>
        <w:bottom w:val="none" w:sz="0" w:space="0" w:color="auto"/>
        <w:right w:val="none" w:sz="0" w:space="0" w:color="auto"/>
      </w:divBdr>
    </w:div>
    <w:div w:id="736560697">
      <w:bodyDiv w:val="1"/>
      <w:marLeft w:val="0"/>
      <w:marRight w:val="0"/>
      <w:marTop w:val="0"/>
      <w:marBottom w:val="0"/>
      <w:divBdr>
        <w:top w:val="none" w:sz="0" w:space="0" w:color="auto"/>
        <w:left w:val="none" w:sz="0" w:space="0" w:color="auto"/>
        <w:bottom w:val="none" w:sz="0" w:space="0" w:color="auto"/>
        <w:right w:val="none" w:sz="0" w:space="0" w:color="auto"/>
      </w:divBdr>
    </w:div>
    <w:div w:id="1008294803">
      <w:bodyDiv w:val="1"/>
      <w:marLeft w:val="0"/>
      <w:marRight w:val="0"/>
      <w:marTop w:val="0"/>
      <w:marBottom w:val="0"/>
      <w:divBdr>
        <w:top w:val="none" w:sz="0" w:space="0" w:color="auto"/>
        <w:left w:val="none" w:sz="0" w:space="0" w:color="auto"/>
        <w:bottom w:val="none" w:sz="0" w:space="0" w:color="auto"/>
        <w:right w:val="none" w:sz="0" w:space="0" w:color="auto"/>
      </w:divBdr>
      <w:divsChild>
        <w:div w:id="950939840">
          <w:marLeft w:val="446"/>
          <w:marRight w:val="0"/>
          <w:marTop w:val="0"/>
          <w:marBottom w:val="0"/>
          <w:divBdr>
            <w:top w:val="none" w:sz="0" w:space="0" w:color="auto"/>
            <w:left w:val="none" w:sz="0" w:space="0" w:color="auto"/>
            <w:bottom w:val="none" w:sz="0" w:space="0" w:color="auto"/>
            <w:right w:val="none" w:sz="0" w:space="0" w:color="auto"/>
          </w:divBdr>
        </w:div>
      </w:divsChild>
    </w:div>
    <w:div w:id="1025712241">
      <w:bodyDiv w:val="1"/>
      <w:marLeft w:val="0"/>
      <w:marRight w:val="0"/>
      <w:marTop w:val="0"/>
      <w:marBottom w:val="0"/>
      <w:divBdr>
        <w:top w:val="none" w:sz="0" w:space="0" w:color="auto"/>
        <w:left w:val="none" w:sz="0" w:space="0" w:color="auto"/>
        <w:bottom w:val="none" w:sz="0" w:space="0" w:color="auto"/>
        <w:right w:val="none" w:sz="0" w:space="0" w:color="auto"/>
      </w:divBdr>
    </w:div>
    <w:div w:id="1032072226">
      <w:bodyDiv w:val="1"/>
      <w:marLeft w:val="0"/>
      <w:marRight w:val="0"/>
      <w:marTop w:val="0"/>
      <w:marBottom w:val="0"/>
      <w:divBdr>
        <w:top w:val="none" w:sz="0" w:space="0" w:color="auto"/>
        <w:left w:val="none" w:sz="0" w:space="0" w:color="auto"/>
        <w:bottom w:val="none" w:sz="0" w:space="0" w:color="auto"/>
        <w:right w:val="none" w:sz="0" w:space="0" w:color="auto"/>
      </w:divBdr>
    </w:div>
    <w:div w:id="1035037965">
      <w:bodyDiv w:val="1"/>
      <w:marLeft w:val="0"/>
      <w:marRight w:val="0"/>
      <w:marTop w:val="0"/>
      <w:marBottom w:val="0"/>
      <w:divBdr>
        <w:top w:val="none" w:sz="0" w:space="0" w:color="auto"/>
        <w:left w:val="none" w:sz="0" w:space="0" w:color="auto"/>
        <w:bottom w:val="none" w:sz="0" w:space="0" w:color="auto"/>
        <w:right w:val="none" w:sz="0" w:space="0" w:color="auto"/>
      </w:divBdr>
    </w:div>
    <w:div w:id="1052727929">
      <w:bodyDiv w:val="1"/>
      <w:marLeft w:val="0"/>
      <w:marRight w:val="0"/>
      <w:marTop w:val="0"/>
      <w:marBottom w:val="0"/>
      <w:divBdr>
        <w:top w:val="none" w:sz="0" w:space="0" w:color="auto"/>
        <w:left w:val="none" w:sz="0" w:space="0" w:color="auto"/>
        <w:bottom w:val="none" w:sz="0" w:space="0" w:color="auto"/>
        <w:right w:val="none" w:sz="0" w:space="0" w:color="auto"/>
      </w:divBdr>
    </w:div>
    <w:div w:id="1068649723">
      <w:bodyDiv w:val="1"/>
      <w:marLeft w:val="0"/>
      <w:marRight w:val="0"/>
      <w:marTop w:val="0"/>
      <w:marBottom w:val="0"/>
      <w:divBdr>
        <w:top w:val="none" w:sz="0" w:space="0" w:color="auto"/>
        <w:left w:val="none" w:sz="0" w:space="0" w:color="auto"/>
        <w:bottom w:val="none" w:sz="0" w:space="0" w:color="auto"/>
        <w:right w:val="none" w:sz="0" w:space="0" w:color="auto"/>
      </w:divBdr>
      <w:divsChild>
        <w:div w:id="1223786410">
          <w:marLeft w:val="446"/>
          <w:marRight w:val="0"/>
          <w:marTop w:val="0"/>
          <w:marBottom w:val="0"/>
          <w:divBdr>
            <w:top w:val="none" w:sz="0" w:space="0" w:color="auto"/>
            <w:left w:val="none" w:sz="0" w:space="0" w:color="auto"/>
            <w:bottom w:val="none" w:sz="0" w:space="0" w:color="auto"/>
            <w:right w:val="none" w:sz="0" w:space="0" w:color="auto"/>
          </w:divBdr>
        </w:div>
      </w:divsChild>
    </w:div>
    <w:div w:id="1193149991">
      <w:bodyDiv w:val="1"/>
      <w:marLeft w:val="0"/>
      <w:marRight w:val="0"/>
      <w:marTop w:val="0"/>
      <w:marBottom w:val="0"/>
      <w:divBdr>
        <w:top w:val="none" w:sz="0" w:space="0" w:color="auto"/>
        <w:left w:val="none" w:sz="0" w:space="0" w:color="auto"/>
        <w:bottom w:val="none" w:sz="0" w:space="0" w:color="auto"/>
        <w:right w:val="none" w:sz="0" w:space="0" w:color="auto"/>
      </w:divBdr>
    </w:div>
    <w:div w:id="1491604846">
      <w:bodyDiv w:val="1"/>
      <w:marLeft w:val="0"/>
      <w:marRight w:val="0"/>
      <w:marTop w:val="0"/>
      <w:marBottom w:val="0"/>
      <w:divBdr>
        <w:top w:val="none" w:sz="0" w:space="0" w:color="auto"/>
        <w:left w:val="none" w:sz="0" w:space="0" w:color="auto"/>
        <w:bottom w:val="none" w:sz="0" w:space="0" w:color="auto"/>
        <w:right w:val="none" w:sz="0" w:space="0" w:color="auto"/>
      </w:divBdr>
    </w:div>
    <w:div w:id="1559588987">
      <w:bodyDiv w:val="1"/>
      <w:marLeft w:val="0"/>
      <w:marRight w:val="0"/>
      <w:marTop w:val="0"/>
      <w:marBottom w:val="0"/>
      <w:divBdr>
        <w:top w:val="none" w:sz="0" w:space="0" w:color="auto"/>
        <w:left w:val="none" w:sz="0" w:space="0" w:color="auto"/>
        <w:bottom w:val="none" w:sz="0" w:space="0" w:color="auto"/>
        <w:right w:val="none" w:sz="0" w:space="0" w:color="auto"/>
      </w:divBdr>
    </w:div>
    <w:div w:id="1576207974">
      <w:bodyDiv w:val="1"/>
      <w:marLeft w:val="0"/>
      <w:marRight w:val="0"/>
      <w:marTop w:val="0"/>
      <w:marBottom w:val="0"/>
      <w:divBdr>
        <w:top w:val="none" w:sz="0" w:space="0" w:color="auto"/>
        <w:left w:val="none" w:sz="0" w:space="0" w:color="auto"/>
        <w:bottom w:val="none" w:sz="0" w:space="0" w:color="auto"/>
        <w:right w:val="none" w:sz="0" w:space="0" w:color="auto"/>
      </w:divBdr>
    </w:div>
    <w:div w:id="1595823771">
      <w:bodyDiv w:val="1"/>
      <w:marLeft w:val="0"/>
      <w:marRight w:val="0"/>
      <w:marTop w:val="0"/>
      <w:marBottom w:val="0"/>
      <w:divBdr>
        <w:top w:val="none" w:sz="0" w:space="0" w:color="auto"/>
        <w:left w:val="none" w:sz="0" w:space="0" w:color="auto"/>
        <w:bottom w:val="none" w:sz="0" w:space="0" w:color="auto"/>
        <w:right w:val="none" w:sz="0" w:space="0" w:color="auto"/>
      </w:divBdr>
      <w:divsChild>
        <w:div w:id="297151373">
          <w:marLeft w:val="274"/>
          <w:marRight w:val="0"/>
          <w:marTop w:val="0"/>
          <w:marBottom w:val="0"/>
          <w:divBdr>
            <w:top w:val="none" w:sz="0" w:space="0" w:color="auto"/>
            <w:left w:val="none" w:sz="0" w:space="0" w:color="auto"/>
            <w:bottom w:val="none" w:sz="0" w:space="0" w:color="auto"/>
            <w:right w:val="none" w:sz="0" w:space="0" w:color="auto"/>
          </w:divBdr>
        </w:div>
      </w:divsChild>
    </w:div>
    <w:div w:id="1665549802">
      <w:bodyDiv w:val="1"/>
      <w:marLeft w:val="0"/>
      <w:marRight w:val="0"/>
      <w:marTop w:val="0"/>
      <w:marBottom w:val="0"/>
      <w:divBdr>
        <w:top w:val="none" w:sz="0" w:space="0" w:color="auto"/>
        <w:left w:val="none" w:sz="0" w:space="0" w:color="auto"/>
        <w:bottom w:val="none" w:sz="0" w:space="0" w:color="auto"/>
        <w:right w:val="none" w:sz="0" w:space="0" w:color="auto"/>
      </w:divBdr>
    </w:div>
    <w:div w:id="1703509962">
      <w:bodyDiv w:val="1"/>
      <w:marLeft w:val="0"/>
      <w:marRight w:val="0"/>
      <w:marTop w:val="0"/>
      <w:marBottom w:val="0"/>
      <w:divBdr>
        <w:top w:val="none" w:sz="0" w:space="0" w:color="auto"/>
        <w:left w:val="none" w:sz="0" w:space="0" w:color="auto"/>
        <w:bottom w:val="none" w:sz="0" w:space="0" w:color="auto"/>
        <w:right w:val="none" w:sz="0" w:space="0" w:color="auto"/>
      </w:divBdr>
    </w:div>
    <w:div w:id="1746993437">
      <w:bodyDiv w:val="1"/>
      <w:marLeft w:val="0"/>
      <w:marRight w:val="0"/>
      <w:marTop w:val="0"/>
      <w:marBottom w:val="0"/>
      <w:divBdr>
        <w:top w:val="none" w:sz="0" w:space="0" w:color="auto"/>
        <w:left w:val="none" w:sz="0" w:space="0" w:color="auto"/>
        <w:bottom w:val="none" w:sz="0" w:space="0" w:color="auto"/>
        <w:right w:val="none" w:sz="0" w:space="0" w:color="auto"/>
      </w:divBdr>
    </w:div>
    <w:div w:id="1879733835">
      <w:bodyDiv w:val="1"/>
      <w:marLeft w:val="0"/>
      <w:marRight w:val="0"/>
      <w:marTop w:val="0"/>
      <w:marBottom w:val="0"/>
      <w:divBdr>
        <w:top w:val="none" w:sz="0" w:space="0" w:color="auto"/>
        <w:left w:val="none" w:sz="0" w:space="0" w:color="auto"/>
        <w:bottom w:val="none" w:sz="0" w:space="0" w:color="auto"/>
        <w:right w:val="none" w:sz="0" w:space="0" w:color="auto"/>
      </w:divBdr>
    </w:div>
    <w:div w:id="1924603846">
      <w:bodyDiv w:val="1"/>
      <w:marLeft w:val="0"/>
      <w:marRight w:val="0"/>
      <w:marTop w:val="0"/>
      <w:marBottom w:val="0"/>
      <w:divBdr>
        <w:top w:val="none" w:sz="0" w:space="0" w:color="auto"/>
        <w:left w:val="none" w:sz="0" w:space="0" w:color="auto"/>
        <w:bottom w:val="none" w:sz="0" w:space="0" w:color="auto"/>
        <w:right w:val="none" w:sz="0" w:space="0" w:color="auto"/>
      </w:divBdr>
    </w:div>
    <w:div w:id="20488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www.reterurale.it/flex/cm/pages/ServeBLOB.php/L/IT/IDPagina/24666"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ec.europa.eu/info/publications/annual-activity-report-2020-agriculture-and-rural-development_it" TargetMode="Externa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www.reterurale.it/flex/cm/pages/ServeBLOB.php/L/IT/IDPagina/2223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F:\PSR%202014-2022\TASSO%20DI%20ERRORE\elaborazione%20tasso%20di%20errore%20general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Foglio1!$B$1</c:f>
              <c:strCache>
                <c:ptCount val="1"/>
                <c:pt idx="0">
                  <c:v>mis. a superfici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Foglio1!$A$2:$A$5</c:f>
              <c:numCache>
                <c:formatCode>General</c:formatCode>
                <c:ptCount val="4"/>
                <c:pt idx="0">
                  <c:v>2020</c:v>
                </c:pt>
                <c:pt idx="1">
                  <c:v>2021</c:v>
                </c:pt>
                <c:pt idx="2">
                  <c:v>2022</c:v>
                </c:pt>
                <c:pt idx="3">
                  <c:v>2023</c:v>
                </c:pt>
              </c:numCache>
            </c:numRef>
          </c:cat>
          <c:val>
            <c:numRef>
              <c:f>Foglio1!$B$2:$B$5</c:f>
              <c:numCache>
                <c:formatCode>General</c:formatCode>
                <c:ptCount val="4"/>
                <c:pt idx="0">
                  <c:v>2.41</c:v>
                </c:pt>
                <c:pt idx="1">
                  <c:v>1.44</c:v>
                </c:pt>
                <c:pt idx="2">
                  <c:v>3.13</c:v>
                </c:pt>
                <c:pt idx="3">
                  <c:v>1.64</c:v>
                </c:pt>
              </c:numCache>
            </c:numRef>
          </c:val>
          <c:extLst>
            <c:ext xmlns:c16="http://schemas.microsoft.com/office/drawing/2014/chart" uri="{C3380CC4-5D6E-409C-BE32-E72D297353CC}">
              <c16:uniqueId val="{00000000-2EA3-4173-BF7B-F37C826539C9}"/>
            </c:ext>
          </c:extLst>
        </c:ser>
        <c:ser>
          <c:idx val="1"/>
          <c:order val="1"/>
          <c:tx>
            <c:strRef>
              <c:f>Foglio1!$C$1</c:f>
              <c:strCache>
                <c:ptCount val="1"/>
                <c:pt idx="0">
                  <c:v>mis. ad investimento</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Foglio1!$A$2:$A$5</c:f>
              <c:numCache>
                <c:formatCode>General</c:formatCode>
                <c:ptCount val="4"/>
                <c:pt idx="0">
                  <c:v>2020</c:v>
                </c:pt>
                <c:pt idx="1">
                  <c:v>2021</c:v>
                </c:pt>
                <c:pt idx="2">
                  <c:v>2022</c:v>
                </c:pt>
                <c:pt idx="3">
                  <c:v>2023</c:v>
                </c:pt>
              </c:numCache>
            </c:numRef>
          </c:cat>
          <c:val>
            <c:numRef>
              <c:f>Foglio1!$C$2:$C$5</c:f>
              <c:numCache>
                <c:formatCode>General</c:formatCode>
                <c:ptCount val="4"/>
                <c:pt idx="0">
                  <c:v>0.13</c:v>
                </c:pt>
                <c:pt idx="1">
                  <c:v>1.2</c:v>
                </c:pt>
                <c:pt idx="2">
                  <c:v>1.1000000000000001</c:v>
                </c:pt>
                <c:pt idx="3">
                  <c:v>0.7</c:v>
                </c:pt>
              </c:numCache>
            </c:numRef>
          </c:val>
          <c:extLst>
            <c:ext xmlns:c16="http://schemas.microsoft.com/office/drawing/2014/chart" uri="{C3380CC4-5D6E-409C-BE32-E72D297353CC}">
              <c16:uniqueId val="{00000001-2EA3-4173-BF7B-F37C826539C9}"/>
            </c:ext>
          </c:extLst>
        </c:ser>
        <c:dLbls>
          <c:showLegendKey val="0"/>
          <c:showVal val="0"/>
          <c:showCatName val="0"/>
          <c:showSerName val="0"/>
          <c:showPercent val="0"/>
          <c:showBubbleSize val="0"/>
        </c:dLbls>
        <c:gapWidth val="219"/>
        <c:overlap val="-27"/>
        <c:axId val="1606571344"/>
        <c:axId val="1606585408"/>
      </c:barChart>
      <c:catAx>
        <c:axId val="1606571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606585408"/>
        <c:crosses val="autoZero"/>
        <c:auto val="1"/>
        <c:lblAlgn val="ctr"/>
        <c:lblOffset val="100"/>
        <c:noMultiLvlLbl val="0"/>
      </c:catAx>
      <c:valAx>
        <c:axId val="16065854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6065713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B2D7CB6-6888-4D6C-AA8C-2F9491068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2739</Words>
  <Characters>15617</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PSR ABRUZZO 2014-2020 Report informativo sul Tasso di errore nello sviluppo rurale</dc:subject>
  <dc:creator>Maria Di Renzo</dc:creator>
  <cp:keywords/>
  <dc:description/>
  <cp:lastModifiedBy>Maria Rosaria Di Renzo</cp:lastModifiedBy>
  <cp:revision>7</cp:revision>
  <cp:lastPrinted>2023-02-02T09:28:00Z</cp:lastPrinted>
  <dcterms:created xsi:type="dcterms:W3CDTF">2024-11-18T06:39:00Z</dcterms:created>
  <dcterms:modified xsi:type="dcterms:W3CDTF">2024-11-18T11:03:00Z</dcterms:modified>
</cp:coreProperties>
</file>